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7A8" w:rsidRDefault="00286BE5" w:rsidP="002037A8">
      <w:pPr>
        <w:spacing w:after="0"/>
        <w:jc w:val="center"/>
        <w:rPr>
          <w:rFonts w:ascii="Arial" w:eastAsia="Times New Roman" w:hAnsi="Arial" w:cs="Arial"/>
          <w:sz w:val="24"/>
          <w:szCs w:val="24"/>
        </w:rPr>
      </w:pPr>
      <w:r w:rsidRPr="00B7194C">
        <w:rPr>
          <w:rFonts w:ascii="Arial" w:eastAsia="Times New Roman" w:hAnsi="Arial" w:cs="Arial"/>
          <w:b/>
          <w:bCs/>
          <w:caps/>
          <w:sz w:val="28"/>
          <w:szCs w:val="28"/>
        </w:rPr>
        <w:t>PETROPHYSICS IN THE GREEN ECONOMY</w:t>
      </w:r>
      <w:r w:rsidRPr="00B7194C">
        <w:rPr>
          <w:rFonts w:ascii="Arial" w:eastAsia="Times New Roman" w:hAnsi="Arial" w:cs="Arial"/>
          <w:b/>
          <w:bCs/>
          <w:caps/>
          <w:sz w:val="28"/>
          <w:szCs w:val="28"/>
        </w:rPr>
        <w:br/>
        <w:t xml:space="preserve">PART </w:t>
      </w:r>
      <w:r w:rsidR="00434176" w:rsidRPr="00B7194C">
        <w:rPr>
          <w:rFonts w:ascii="Arial" w:eastAsia="Times New Roman" w:hAnsi="Arial" w:cs="Arial"/>
          <w:b/>
          <w:bCs/>
          <w:caps/>
          <w:sz w:val="28"/>
          <w:szCs w:val="28"/>
        </w:rPr>
        <w:t>4</w:t>
      </w:r>
      <w:r w:rsidR="009F70BC" w:rsidRPr="00B7194C">
        <w:rPr>
          <w:rFonts w:ascii="Arial" w:eastAsia="Times New Roman" w:hAnsi="Arial" w:cs="Arial"/>
          <w:b/>
          <w:bCs/>
          <w:caps/>
          <w:sz w:val="28"/>
          <w:szCs w:val="28"/>
        </w:rPr>
        <w:t xml:space="preserve"> – </w:t>
      </w:r>
      <w:r w:rsidR="00CC149A" w:rsidRPr="00B7194C">
        <w:rPr>
          <w:rFonts w:ascii="Arial" w:eastAsia="Times New Roman" w:hAnsi="Arial" w:cs="Arial"/>
          <w:b/>
          <w:bCs/>
          <w:caps/>
          <w:sz w:val="28"/>
          <w:szCs w:val="28"/>
        </w:rPr>
        <w:t xml:space="preserve">Geothermal: </w:t>
      </w:r>
      <w:r w:rsidR="009F70BC" w:rsidRPr="00B7194C">
        <w:rPr>
          <w:rFonts w:ascii="Arial" w:eastAsia="Times New Roman" w:hAnsi="Arial" w:cs="Arial"/>
          <w:b/>
          <w:bCs/>
          <w:caps/>
          <w:sz w:val="28"/>
          <w:szCs w:val="28"/>
        </w:rPr>
        <w:t>metamorphic and igneous rocks</w:t>
      </w:r>
      <w:r w:rsidRPr="00B7194C">
        <w:rPr>
          <w:rFonts w:ascii="Arial" w:eastAsia="Times New Roman" w:hAnsi="Arial" w:cs="Arial"/>
          <w:b/>
          <w:bCs/>
          <w:caps/>
          <w:sz w:val="28"/>
          <w:szCs w:val="28"/>
        </w:rPr>
        <w:br/>
      </w:r>
      <w:r w:rsidRPr="00B7194C">
        <w:rPr>
          <w:rFonts w:ascii="Arial" w:eastAsia="Times New Roman" w:hAnsi="Arial" w:cs="Arial"/>
          <w:b/>
          <w:bCs/>
          <w:caps/>
          <w:sz w:val="28"/>
          <w:szCs w:val="28"/>
        </w:rPr>
        <w:br/>
      </w:r>
      <w:r w:rsidRPr="00B7194C">
        <w:rPr>
          <w:rFonts w:ascii="Arial" w:eastAsia="Times New Roman" w:hAnsi="Arial" w:cs="Arial"/>
          <w:sz w:val="24"/>
          <w:szCs w:val="24"/>
        </w:rPr>
        <w:t>E.R. Crain, P.E</w:t>
      </w:r>
      <w:r w:rsidR="0045795D" w:rsidRPr="00B7194C">
        <w:rPr>
          <w:rFonts w:ascii="Arial" w:eastAsia="Times New Roman" w:hAnsi="Arial" w:cs="Arial"/>
          <w:sz w:val="24"/>
          <w:szCs w:val="24"/>
        </w:rPr>
        <w:t>n</w:t>
      </w:r>
      <w:r w:rsidRPr="00B7194C">
        <w:rPr>
          <w:rFonts w:ascii="Arial" w:eastAsia="Times New Roman" w:hAnsi="Arial" w:cs="Arial"/>
          <w:sz w:val="24"/>
          <w:szCs w:val="24"/>
        </w:rPr>
        <w:t>g.</w:t>
      </w:r>
      <w:r w:rsidR="002037A8">
        <w:rPr>
          <w:rFonts w:ascii="Arial" w:eastAsia="Times New Roman" w:hAnsi="Arial" w:cs="Arial"/>
          <w:sz w:val="24"/>
          <w:szCs w:val="24"/>
        </w:rPr>
        <w:br/>
      </w:r>
      <w:r w:rsidR="002037A8">
        <w:rPr>
          <w:rFonts w:ascii="Arial" w:eastAsia="Times New Roman" w:hAnsi="Arial" w:cs="Arial"/>
          <w:sz w:val="24"/>
          <w:szCs w:val="24"/>
        </w:rPr>
        <w:br/>
      </w:r>
      <w:bookmarkStart w:id="0" w:name="_GoBack"/>
      <w:r w:rsidR="002037A8">
        <w:rPr>
          <w:rFonts w:ascii="Arial" w:eastAsia="Times New Roman" w:hAnsi="Arial" w:cs="Arial"/>
          <w:sz w:val="24"/>
          <w:szCs w:val="24"/>
        </w:rPr>
        <w:t xml:space="preserve">Published in CSPG Reservoir </w:t>
      </w:r>
      <w:r w:rsidR="002037A8">
        <w:rPr>
          <w:rFonts w:ascii="Arial" w:eastAsia="Times New Roman" w:hAnsi="Arial" w:cs="Arial"/>
          <w:sz w:val="24"/>
          <w:szCs w:val="24"/>
        </w:rPr>
        <w:t>Jan</w:t>
      </w:r>
      <w:r w:rsidR="002037A8">
        <w:rPr>
          <w:rFonts w:ascii="Arial" w:eastAsia="Times New Roman" w:hAnsi="Arial" w:cs="Arial"/>
          <w:sz w:val="24"/>
          <w:szCs w:val="24"/>
        </w:rPr>
        <w:t xml:space="preserve"> – </w:t>
      </w:r>
      <w:r w:rsidR="002037A8">
        <w:rPr>
          <w:rFonts w:ascii="Arial" w:eastAsia="Times New Roman" w:hAnsi="Arial" w:cs="Arial"/>
          <w:sz w:val="24"/>
          <w:szCs w:val="24"/>
        </w:rPr>
        <w:t>Feb</w:t>
      </w:r>
      <w:r w:rsidR="002037A8">
        <w:rPr>
          <w:rFonts w:ascii="Arial" w:eastAsia="Times New Roman" w:hAnsi="Arial" w:cs="Arial"/>
          <w:sz w:val="24"/>
          <w:szCs w:val="24"/>
        </w:rPr>
        <w:t xml:space="preserve"> 202</w:t>
      </w:r>
      <w:r w:rsidR="002037A8">
        <w:rPr>
          <w:rFonts w:ascii="Arial" w:eastAsia="Times New Roman" w:hAnsi="Arial" w:cs="Arial"/>
          <w:sz w:val="24"/>
          <w:szCs w:val="24"/>
        </w:rPr>
        <w:t>3</w:t>
      </w:r>
    </w:p>
    <w:bookmarkEnd w:id="0"/>
    <w:p w:rsidR="00286BE5" w:rsidRPr="00B7194C" w:rsidRDefault="00286BE5" w:rsidP="00C669BB">
      <w:pPr>
        <w:spacing w:after="0"/>
        <w:jc w:val="center"/>
        <w:rPr>
          <w:rFonts w:ascii="Arial" w:eastAsia="Times New Roman" w:hAnsi="Arial" w:cs="Arial"/>
          <w:sz w:val="24"/>
          <w:szCs w:val="24"/>
        </w:rPr>
      </w:pPr>
    </w:p>
    <w:p w:rsidR="00AE413C" w:rsidRDefault="00286BE5" w:rsidP="00C669BB">
      <w:pPr>
        <w:pStyle w:val="NormalWeb"/>
        <w:spacing w:before="0" w:beforeAutospacing="0" w:after="0" w:afterAutospacing="0"/>
        <w:rPr>
          <w:color w:val="000000"/>
        </w:rPr>
      </w:pPr>
      <w:r w:rsidRPr="00B7194C">
        <w:rPr>
          <w:rFonts w:ascii="Arial" w:hAnsi="Arial" w:cs="Arial"/>
          <w:b/>
          <w:bCs/>
          <w:caps/>
        </w:rPr>
        <w:t>INTRODUCTION</w:t>
      </w:r>
      <w:r w:rsidRPr="00B7194C">
        <w:rPr>
          <w:rFonts w:ascii="Arial" w:hAnsi="Arial" w:cs="Arial"/>
          <w:b/>
          <w:bCs/>
        </w:rPr>
        <w:br/>
      </w:r>
      <w:r w:rsidR="00B96E32">
        <w:rPr>
          <w:rFonts w:ascii="Arial" w:hAnsi="Arial" w:cs="Arial"/>
          <w:color w:val="000000"/>
        </w:rPr>
        <w:t>M</w:t>
      </w:r>
      <w:r w:rsidR="00AE413C">
        <w:rPr>
          <w:rFonts w:ascii="Arial" w:hAnsi="Arial" w:cs="Arial"/>
          <w:color w:val="000000"/>
        </w:rPr>
        <w:t xml:space="preserve">edium </w:t>
      </w:r>
      <w:r w:rsidR="006B1F13">
        <w:rPr>
          <w:rFonts w:ascii="Arial" w:hAnsi="Arial" w:cs="Arial"/>
          <w:color w:val="000000"/>
        </w:rPr>
        <w:t>temperature</w:t>
      </w:r>
      <w:r w:rsidR="00AE413C">
        <w:rPr>
          <w:rFonts w:ascii="Arial" w:hAnsi="Arial" w:cs="Arial"/>
          <w:color w:val="000000"/>
        </w:rPr>
        <w:t xml:space="preserve"> geothermal projects are often placed in sedimentary rocks, </w:t>
      </w:r>
      <w:r w:rsidR="00B96E32">
        <w:rPr>
          <w:rFonts w:ascii="Arial" w:hAnsi="Arial" w:cs="Arial"/>
          <w:color w:val="000000"/>
        </w:rPr>
        <w:t>where log analysis methods and rock properties are reasonably well understood. H</w:t>
      </w:r>
      <w:r w:rsidR="00AE413C">
        <w:rPr>
          <w:rFonts w:ascii="Arial" w:hAnsi="Arial" w:cs="Arial"/>
          <w:color w:val="000000"/>
        </w:rPr>
        <w:t>igh temperature geothermal is more common in igneous and metamorphic rocks. These are more difficult for petrophysicists to analy</w:t>
      </w:r>
      <w:r w:rsidR="007E2B7F">
        <w:rPr>
          <w:rFonts w:ascii="Arial" w:hAnsi="Arial" w:cs="Arial"/>
          <w:color w:val="000000"/>
        </w:rPr>
        <w:t>z</w:t>
      </w:r>
      <w:r w:rsidR="00AE413C">
        <w:rPr>
          <w:rFonts w:ascii="Arial" w:hAnsi="Arial" w:cs="Arial"/>
          <w:color w:val="000000"/>
        </w:rPr>
        <w:t>e as the physical properties are more variable than those for sedimentary minerals.</w:t>
      </w:r>
      <w:r w:rsidR="00AE413C">
        <w:rPr>
          <w:rFonts w:ascii="Arial" w:hAnsi="Arial" w:cs="Arial"/>
          <w:color w:val="000000"/>
        </w:rPr>
        <w:br/>
      </w:r>
      <w:r w:rsidR="00AE413C">
        <w:rPr>
          <w:rFonts w:ascii="Arial" w:hAnsi="Arial" w:cs="Arial"/>
          <w:color w:val="000000"/>
        </w:rPr>
        <w:br/>
        <w:t>Further, igneou</w:t>
      </w:r>
      <w:r w:rsidR="00B96E32">
        <w:rPr>
          <w:rFonts w:ascii="Arial" w:hAnsi="Arial" w:cs="Arial"/>
          <w:color w:val="000000"/>
        </w:rPr>
        <w:t>s</w:t>
      </w:r>
      <w:r w:rsidR="006B1F13">
        <w:rPr>
          <w:rFonts w:ascii="Arial" w:hAnsi="Arial" w:cs="Arial"/>
          <w:color w:val="000000"/>
        </w:rPr>
        <w:t xml:space="preserve"> and </w:t>
      </w:r>
      <w:r w:rsidR="00AE413C">
        <w:rPr>
          <w:rFonts w:ascii="Arial" w:hAnsi="Arial" w:cs="Arial"/>
          <w:color w:val="000000"/>
        </w:rPr>
        <w:t xml:space="preserve">metamorphic rocks are often described by </w:t>
      </w:r>
      <w:r w:rsidR="007E2B7F">
        <w:rPr>
          <w:rFonts w:ascii="Arial" w:hAnsi="Arial" w:cs="Arial"/>
          <w:color w:val="000000"/>
        </w:rPr>
        <w:t xml:space="preserve">a </w:t>
      </w:r>
      <w:r w:rsidR="00AE413C">
        <w:rPr>
          <w:rFonts w:ascii="Arial" w:hAnsi="Arial" w:cs="Arial"/>
          <w:color w:val="000000"/>
        </w:rPr>
        <w:t>rock-typ</w:t>
      </w:r>
      <w:r w:rsidR="007E2B7F">
        <w:rPr>
          <w:rFonts w:ascii="Arial" w:hAnsi="Arial" w:cs="Arial"/>
          <w:color w:val="000000"/>
        </w:rPr>
        <w:t>e</w:t>
      </w:r>
      <w:r w:rsidR="00AE413C">
        <w:rPr>
          <w:rFonts w:ascii="Arial" w:hAnsi="Arial" w:cs="Arial"/>
          <w:color w:val="000000"/>
        </w:rPr>
        <w:t xml:space="preserve"> name and not </w:t>
      </w:r>
      <w:r w:rsidR="007E2B7F">
        <w:rPr>
          <w:rFonts w:ascii="Arial" w:hAnsi="Arial" w:cs="Arial"/>
          <w:color w:val="000000"/>
        </w:rPr>
        <w:t xml:space="preserve">by </w:t>
      </w:r>
      <w:r w:rsidR="00AE413C">
        <w:rPr>
          <w:rFonts w:ascii="Arial" w:hAnsi="Arial" w:cs="Arial"/>
          <w:color w:val="000000"/>
        </w:rPr>
        <w:t>their mineral content. Since logs respond to minerals and not rock-types, an extra step is required to generate rock-types</w:t>
      </w:r>
      <w:r w:rsidR="00997B50">
        <w:rPr>
          <w:rFonts w:ascii="Arial" w:hAnsi="Arial" w:cs="Arial"/>
          <w:color w:val="000000"/>
        </w:rPr>
        <w:t xml:space="preserve"> from the mineral components</w:t>
      </w:r>
      <w:r w:rsidR="00AE413C">
        <w:rPr>
          <w:rFonts w:ascii="Arial" w:hAnsi="Arial" w:cs="Arial"/>
          <w:color w:val="000000"/>
        </w:rPr>
        <w:t xml:space="preserve">. </w:t>
      </w:r>
      <w:r w:rsidR="00AE413C">
        <w:rPr>
          <w:rFonts w:ascii="Arial" w:hAnsi="Arial" w:cs="Arial"/>
          <w:color w:val="000000"/>
        </w:rPr>
        <w:br/>
      </w:r>
      <w:r w:rsidR="00AE413C">
        <w:rPr>
          <w:rFonts w:ascii="Arial" w:hAnsi="Arial" w:cs="Arial"/>
          <w:color w:val="000000"/>
        </w:rPr>
        <w:br/>
        <w:t>This article describes the rock properties</w:t>
      </w:r>
      <w:r w:rsidR="007E2B7F">
        <w:rPr>
          <w:rFonts w:ascii="Arial" w:hAnsi="Arial" w:cs="Arial"/>
          <w:color w:val="000000"/>
        </w:rPr>
        <w:t xml:space="preserve"> as see</w:t>
      </w:r>
      <w:r w:rsidR="00AE413C">
        <w:rPr>
          <w:rFonts w:ascii="Arial" w:hAnsi="Arial" w:cs="Arial"/>
          <w:color w:val="000000"/>
        </w:rPr>
        <w:t>n by well logs</w:t>
      </w:r>
      <w:r w:rsidR="007E2B7F">
        <w:rPr>
          <w:rFonts w:ascii="Arial" w:hAnsi="Arial" w:cs="Arial"/>
          <w:color w:val="000000"/>
        </w:rPr>
        <w:t>,</w:t>
      </w:r>
      <w:r w:rsidR="00AE413C">
        <w:rPr>
          <w:rFonts w:ascii="Arial" w:hAnsi="Arial" w:cs="Arial"/>
          <w:color w:val="000000"/>
        </w:rPr>
        <w:t xml:space="preserve"> a</w:t>
      </w:r>
      <w:r w:rsidR="007E2B7F">
        <w:rPr>
          <w:rFonts w:ascii="Arial" w:hAnsi="Arial" w:cs="Arial"/>
          <w:color w:val="000000"/>
        </w:rPr>
        <w:t>nd</w:t>
      </w:r>
      <w:r w:rsidR="00AE413C">
        <w:rPr>
          <w:rFonts w:ascii="Arial" w:hAnsi="Arial" w:cs="Arial"/>
          <w:color w:val="000000"/>
        </w:rPr>
        <w:t xml:space="preserve"> the mineral </w:t>
      </w:r>
      <w:r w:rsidR="007E2B7F">
        <w:rPr>
          <w:rFonts w:ascii="Arial" w:hAnsi="Arial" w:cs="Arial"/>
          <w:color w:val="000000"/>
        </w:rPr>
        <w:t>composition</w:t>
      </w:r>
      <w:r w:rsidR="00AE413C">
        <w:rPr>
          <w:rFonts w:ascii="Arial" w:hAnsi="Arial" w:cs="Arial"/>
          <w:color w:val="000000"/>
        </w:rPr>
        <w:t xml:space="preserve"> of the common rock-types.</w:t>
      </w:r>
      <w:r w:rsidR="007E2B7F">
        <w:rPr>
          <w:rFonts w:ascii="Arial" w:hAnsi="Arial" w:cs="Arial"/>
          <w:color w:val="000000"/>
        </w:rPr>
        <w:t xml:space="preserve"> </w:t>
      </w:r>
      <w:r w:rsidR="00AE413C">
        <w:rPr>
          <w:rFonts w:ascii="Arial" w:hAnsi="Arial" w:cs="Arial"/>
          <w:color w:val="000000"/>
        </w:rPr>
        <w:t xml:space="preserve">The </w:t>
      </w:r>
      <w:r w:rsidR="006B1F13">
        <w:rPr>
          <w:rFonts w:ascii="Arial" w:hAnsi="Arial" w:cs="Arial"/>
          <w:color w:val="000000"/>
        </w:rPr>
        <w:t>objective</w:t>
      </w:r>
      <w:r w:rsidR="00AE413C">
        <w:rPr>
          <w:rFonts w:ascii="Arial" w:hAnsi="Arial" w:cs="Arial"/>
          <w:color w:val="000000"/>
        </w:rPr>
        <w:t xml:space="preserve"> is to provide the data needed so that you can use your favourite multi-mineral model to resolve the mineral</w:t>
      </w:r>
      <w:r w:rsidR="007E2B7F">
        <w:rPr>
          <w:rFonts w:ascii="Arial" w:hAnsi="Arial" w:cs="Arial"/>
          <w:color w:val="000000"/>
        </w:rPr>
        <w:t>ogy</w:t>
      </w:r>
      <w:r w:rsidR="00AE413C">
        <w:rPr>
          <w:rFonts w:ascii="Arial" w:hAnsi="Arial" w:cs="Arial"/>
          <w:color w:val="000000"/>
        </w:rPr>
        <w:t xml:space="preserve"> </w:t>
      </w:r>
      <w:r w:rsidR="006B1F13">
        <w:rPr>
          <w:rFonts w:ascii="Arial" w:hAnsi="Arial" w:cs="Arial"/>
          <w:color w:val="000000"/>
        </w:rPr>
        <w:t>of</w:t>
      </w:r>
      <w:r w:rsidR="00AE413C">
        <w:rPr>
          <w:rFonts w:ascii="Arial" w:hAnsi="Arial" w:cs="Arial"/>
          <w:color w:val="000000"/>
        </w:rPr>
        <w:t xml:space="preserve"> a </w:t>
      </w:r>
      <w:r w:rsidR="006B1F13">
        <w:rPr>
          <w:rFonts w:ascii="Arial" w:hAnsi="Arial" w:cs="Arial"/>
          <w:color w:val="000000"/>
        </w:rPr>
        <w:t>potential</w:t>
      </w:r>
      <w:r w:rsidR="00AE413C">
        <w:rPr>
          <w:rFonts w:ascii="Arial" w:hAnsi="Arial" w:cs="Arial"/>
          <w:color w:val="000000"/>
        </w:rPr>
        <w:t xml:space="preserve"> geothermal reservoir</w:t>
      </w:r>
      <w:r w:rsidR="00B96E32">
        <w:rPr>
          <w:rFonts w:ascii="Arial" w:hAnsi="Arial" w:cs="Arial"/>
          <w:color w:val="000000"/>
        </w:rPr>
        <w:t xml:space="preserve"> in non-sedimentary settings</w:t>
      </w:r>
      <w:r w:rsidR="00AE413C">
        <w:rPr>
          <w:rFonts w:ascii="Arial" w:hAnsi="Arial" w:cs="Arial"/>
          <w:color w:val="000000"/>
        </w:rPr>
        <w:t>.</w:t>
      </w:r>
    </w:p>
    <w:p w:rsidR="006B1F13" w:rsidRDefault="00AE413C" w:rsidP="00131EA1">
      <w:pPr>
        <w:spacing w:after="0"/>
        <w:rPr>
          <w:rFonts w:ascii="Arial" w:hAnsi="Arial" w:cs="Arial"/>
          <w:color w:val="000000"/>
        </w:rPr>
      </w:pPr>
      <w:bookmarkStart w:id="1" w:name="b2"/>
      <w:bookmarkEnd w:id="1"/>
      <w:r>
        <w:rPr>
          <w:rFonts w:ascii="Arial" w:hAnsi="Arial" w:cs="Arial"/>
          <w:caps/>
          <w:color w:val="FF0000"/>
        </w:rPr>
        <w:br/>
      </w:r>
      <w:bookmarkStart w:id="2" w:name="b3"/>
      <w:bookmarkEnd w:id="2"/>
      <w:r w:rsidRPr="00B7194C">
        <w:rPr>
          <w:rFonts w:ascii="Arial" w:hAnsi="Arial" w:cs="Arial"/>
          <w:b/>
          <w:bCs/>
          <w:caps/>
        </w:rPr>
        <w:t>Metamorphic rock classification</w:t>
      </w:r>
      <w:r w:rsidRPr="00B7194C">
        <w:rPr>
          <w:rFonts w:ascii="Arial" w:hAnsi="Arial" w:cs="Arial"/>
          <w:b/>
          <w:bCs/>
          <w:caps/>
        </w:rPr>
        <w:br/>
      </w:r>
      <w:r>
        <w:rPr>
          <w:rFonts w:ascii="Arial" w:hAnsi="Arial" w:cs="Arial"/>
          <w:color w:val="000000"/>
        </w:rPr>
        <w:t>Metamorphic rocks are conventional sedimentary rocks that have been exposed to high heat and pressure. There are several types of metamorphism:</w:t>
      </w:r>
      <w:r w:rsidR="00BD59E8">
        <w:rPr>
          <w:rFonts w:ascii="Arial" w:hAnsi="Arial" w:cs="Arial"/>
          <w:color w:val="000000"/>
        </w:rPr>
        <w:t xml:space="preserve"> c</w:t>
      </w:r>
      <w:r>
        <w:rPr>
          <w:rFonts w:ascii="Arial" w:hAnsi="Arial" w:cs="Arial"/>
          <w:color w:val="000000"/>
        </w:rPr>
        <w:t>ontact</w:t>
      </w:r>
      <w:r w:rsidR="00BD59E8">
        <w:rPr>
          <w:rFonts w:ascii="Arial" w:hAnsi="Arial" w:cs="Arial"/>
          <w:color w:val="000000"/>
        </w:rPr>
        <w:t>, r</w:t>
      </w:r>
      <w:r>
        <w:rPr>
          <w:rFonts w:ascii="Arial" w:hAnsi="Arial" w:cs="Arial"/>
          <w:color w:val="000000"/>
        </w:rPr>
        <w:t>egional</w:t>
      </w:r>
      <w:r w:rsidR="006B1F13">
        <w:rPr>
          <w:rFonts w:ascii="Arial" w:hAnsi="Arial" w:cs="Arial"/>
          <w:color w:val="000000"/>
        </w:rPr>
        <w:t>,</w:t>
      </w:r>
      <w:r w:rsidR="00BD59E8">
        <w:rPr>
          <w:rFonts w:ascii="Arial" w:hAnsi="Arial" w:cs="Arial"/>
          <w:color w:val="000000"/>
        </w:rPr>
        <w:t xml:space="preserve"> h</w:t>
      </w:r>
      <w:r>
        <w:rPr>
          <w:rFonts w:ascii="Arial" w:hAnsi="Arial" w:cs="Arial"/>
          <w:color w:val="000000"/>
        </w:rPr>
        <w:t>ydrothermal</w:t>
      </w:r>
      <w:r w:rsidR="00BD59E8">
        <w:rPr>
          <w:rFonts w:ascii="Arial" w:hAnsi="Arial" w:cs="Arial"/>
          <w:color w:val="000000"/>
        </w:rPr>
        <w:t xml:space="preserve">, </w:t>
      </w:r>
      <w:r w:rsidR="001C08D3">
        <w:rPr>
          <w:rFonts w:ascii="Arial" w:hAnsi="Arial" w:cs="Arial"/>
          <w:color w:val="000000"/>
        </w:rPr>
        <w:t xml:space="preserve">or </w:t>
      </w:r>
      <w:r w:rsidR="00BD59E8">
        <w:rPr>
          <w:rFonts w:ascii="Arial" w:hAnsi="Arial" w:cs="Arial"/>
          <w:color w:val="000000"/>
        </w:rPr>
        <w:t>f</w:t>
      </w:r>
      <w:r>
        <w:rPr>
          <w:rFonts w:ascii="Arial" w:hAnsi="Arial" w:cs="Arial"/>
          <w:color w:val="000000"/>
        </w:rPr>
        <w:t>ault zone</w:t>
      </w:r>
      <w:r w:rsidR="001C08D3">
        <w:rPr>
          <w:rFonts w:ascii="Arial" w:hAnsi="Arial" w:cs="Arial"/>
          <w:color w:val="000000"/>
        </w:rPr>
        <w:t xml:space="preserve"> friction</w:t>
      </w:r>
      <w:r w:rsidR="00B7194C">
        <w:rPr>
          <w:rFonts w:ascii="Arial" w:hAnsi="Arial" w:cs="Arial"/>
          <w:color w:val="000000"/>
        </w:rPr>
        <w:t>.</w:t>
      </w:r>
      <w:r w:rsidR="001C08D3">
        <w:rPr>
          <w:rFonts w:ascii="Arial" w:hAnsi="Arial" w:cs="Arial"/>
          <w:color w:val="000000"/>
        </w:rPr>
        <w:t xml:space="preserve"> </w:t>
      </w:r>
      <w:r>
        <w:rPr>
          <w:rStyle w:val="Emphasis"/>
          <w:rFonts w:ascii="Arial" w:hAnsi="Arial" w:cs="Arial"/>
          <w:i w:val="0"/>
          <w:iCs w:val="0"/>
          <w:color w:val="000000"/>
        </w:rPr>
        <w:t>Changes that occur during metamorphism are</w:t>
      </w:r>
      <w:r w:rsidR="001C08D3">
        <w:rPr>
          <w:rStyle w:val="Emphasis"/>
          <w:rFonts w:ascii="Arial" w:hAnsi="Arial" w:cs="Arial"/>
          <w:i w:val="0"/>
          <w:iCs w:val="0"/>
          <w:color w:val="000000"/>
        </w:rPr>
        <w:t xml:space="preserve"> r</w:t>
      </w:r>
      <w:r>
        <w:rPr>
          <w:rFonts w:ascii="Arial" w:hAnsi="Arial" w:cs="Arial"/>
          <w:color w:val="000000"/>
        </w:rPr>
        <w:t>e-crystallization</w:t>
      </w:r>
      <w:r w:rsidR="001C08D3">
        <w:rPr>
          <w:rFonts w:ascii="Arial" w:hAnsi="Arial" w:cs="Arial"/>
          <w:color w:val="000000"/>
        </w:rPr>
        <w:t>, n</w:t>
      </w:r>
      <w:r>
        <w:rPr>
          <w:rFonts w:ascii="Arial" w:hAnsi="Arial" w:cs="Arial"/>
          <w:color w:val="000000"/>
        </w:rPr>
        <w:t xml:space="preserve">eomorphism </w:t>
      </w:r>
      <w:r w:rsidR="001C08D3">
        <w:rPr>
          <w:rFonts w:ascii="Arial" w:hAnsi="Arial" w:cs="Arial"/>
          <w:color w:val="000000"/>
        </w:rPr>
        <w:t xml:space="preserve">in </w:t>
      </w:r>
      <w:r w:rsidR="006B1F13">
        <w:rPr>
          <w:rFonts w:ascii="Arial" w:hAnsi="Arial" w:cs="Arial"/>
          <w:color w:val="000000"/>
        </w:rPr>
        <w:t>which</w:t>
      </w:r>
      <w:r>
        <w:rPr>
          <w:rFonts w:ascii="Arial" w:hAnsi="Arial" w:cs="Arial"/>
          <w:color w:val="000000"/>
        </w:rPr>
        <w:t xml:space="preserve"> new minerals are created from the original</w:t>
      </w:r>
      <w:r w:rsidR="001C08D3">
        <w:rPr>
          <w:rFonts w:ascii="Arial" w:hAnsi="Arial" w:cs="Arial"/>
          <w:color w:val="000000"/>
        </w:rPr>
        <w:t>, and m</w:t>
      </w:r>
      <w:r>
        <w:rPr>
          <w:rFonts w:ascii="Arial" w:hAnsi="Arial" w:cs="Arial"/>
          <w:color w:val="000000"/>
        </w:rPr>
        <w:t xml:space="preserve">etamorphism </w:t>
      </w:r>
      <w:r w:rsidR="001C08D3">
        <w:rPr>
          <w:rFonts w:ascii="Arial" w:hAnsi="Arial" w:cs="Arial"/>
          <w:color w:val="000000"/>
        </w:rPr>
        <w:t>in which</w:t>
      </w:r>
      <w:r>
        <w:rPr>
          <w:rFonts w:ascii="Arial" w:hAnsi="Arial" w:cs="Arial"/>
          <w:color w:val="000000"/>
        </w:rPr>
        <w:t xml:space="preserve"> new minerals are created by gaining or losing chemical</w:t>
      </w:r>
      <w:r w:rsidR="00BD59E8">
        <w:rPr>
          <w:rFonts w:ascii="Arial" w:hAnsi="Arial" w:cs="Arial"/>
          <w:color w:val="000000"/>
        </w:rPr>
        <w:t xml:space="preserve"> elements</w:t>
      </w:r>
      <w:r>
        <w:rPr>
          <w:rFonts w:ascii="Arial" w:hAnsi="Arial" w:cs="Arial"/>
          <w:color w:val="000000"/>
        </w:rPr>
        <w:t xml:space="preserve">. </w:t>
      </w:r>
      <w:r w:rsidR="001C08D3">
        <w:rPr>
          <w:rFonts w:ascii="Arial" w:hAnsi="Arial" w:cs="Arial"/>
          <w:color w:val="000000"/>
        </w:rPr>
        <w:br/>
      </w:r>
      <w:r w:rsidR="001C08D3">
        <w:rPr>
          <w:rFonts w:ascii="Arial" w:hAnsi="Arial" w:cs="Arial"/>
          <w:color w:val="000000"/>
        </w:rPr>
        <w:br/>
      </w:r>
      <w:r>
        <w:rPr>
          <w:rFonts w:ascii="Arial" w:hAnsi="Arial" w:cs="Arial"/>
          <w:color w:val="000000"/>
        </w:rPr>
        <w:t>Specific sedimentary rocks become specific metamorphic rocks, as shown below:</w:t>
      </w:r>
      <w:r w:rsidR="009D27F2">
        <w:rPr>
          <w:rFonts w:ascii="Arial" w:hAnsi="Arial" w:cs="Arial"/>
          <w:color w:val="000000"/>
        </w:rPr>
        <w:br/>
        <w:t xml:space="preserve">  Sandstone </w:t>
      </w:r>
      <w:r w:rsidR="009D27F2" w:rsidRPr="00AF0E71">
        <w:rPr>
          <w:rFonts w:ascii="Arial" w:hAnsi="Arial" w:cs="Arial"/>
          <w:color w:val="000000"/>
        </w:rPr>
        <w:sym w:font="Wingdings" w:char="F0E8"/>
      </w:r>
      <w:r w:rsidR="009D27F2">
        <w:rPr>
          <w:rFonts w:ascii="Arial" w:hAnsi="Arial" w:cs="Arial"/>
          <w:color w:val="000000"/>
        </w:rPr>
        <w:t xml:space="preserve"> Quartzite </w:t>
      </w:r>
      <w:r w:rsidR="009D27F2">
        <w:rPr>
          <w:rFonts w:ascii="Arial" w:hAnsi="Arial" w:cs="Arial"/>
          <w:color w:val="000000"/>
        </w:rPr>
        <w:br/>
        <w:t xml:space="preserve">  Limestone OR Dolomite </w:t>
      </w:r>
      <w:r w:rsidR="009D27F2" w:rsidRPr="00AF0E71">
        <w:rPr>
          <w:rFonts w:ascii="Arial" w:hAnsi="Arial" w:cs="Arial"/>
          <w:color w:val="000000"/>
        </w:rPr>
        <w:sym w:font="Wingdings" w:char="F0E8"/>
      </w:r>
      <w:r w:rsidR="009D27F2">
        <w:rPr>
          <w:rFonts w:ascii="Arial" w:hAnsi="Arial" w:cs="Arial"/>
          <w:color w:val="000000"/>
        </w:rPr>
        <w:t xml:space="preserve"> Marble</w:t>
      </w:r>
      <w:r w:rsidR="009D27F2">
        <w:rPr>
          <w:rFonts w:ascii="Arial" w:hAnsi="Arial" w:cs="Arial"/>
          <w:color w:val="000000"/>
        </w:rPr>
        <w:br/>
        <w:t xml:space="preserve">  Basalt </w:t>
      </w:r>
      <w:r w:rsidR="009D27F2" w:rsidRPr="00AF0E71">
        <w:rPr>
          <w:rFonts w:ascii="Arial" w:hAnsi="Arial" w:cs="Arial"/>
          <w:color w:val="000000"/>
        </w:rPr>
        <w:sym w:font="Wingdings" w:char="F0E8"/>
      </w:r>
      <w:r w:rsidR="009D27F2">
        <w:rPr>
          <w:rFonts w:ascii="Arial" w:hAnsi="Arial" w:cs="Arial"/>
          <w:color w:val="000000"/>
        </w:rPr>
        <w:t xml:space="preserve"> Schist OR Amphibolite</w:t>
      </w:r>
      <w:r w:rsidR="009D27F2">
        <w:rPr>
          <w:rFonts w:ascii="Arial" w:hAnsi="Arial" w:cs="Arial"/>
          <w:color w:val="000000"/>
        </w:rPr>
        <w:br/>
        <w:t xml:space="preserve">  Shale </w:t>
      </w:r>
      <w:r w:rsidR="009D27F2" w:rsidRPr="00AF0E71">
        <w:rPr>
          <w:rFonts w:ascii="Arial" w:hAnsi="Arial" w:cs="Arial"/>
          <w:color w:val="000000"/>
        </w:rPr>
        <w:sym w:font="Wingdings" w:char="F0E8"/>
      </w:r>
      <w:r w:rsidR="009D27F2">
        <w:rPr>
          <w:rFonts w:ascii="Arial" w:hAnsi="Arial" w:cs="Arial"/>
          <w:color w:val="000000"/>
        </w:rPr>
        <w:t xml:space="preserve"> Slate</w:t>
      </w:r>
      <w:r w:rsidR="009D27F2">
        <w:rPr>
          <w:rFonts w:ascii="Arial" w:hAnsi="Arial" w:cs="Arial"/>
          <w:color w:val="000000"/>
        </w:rPr>
        <w:br/>
        <w:t xml:space="preserve">  </w:t>
      </w:r>
      <w:r w:rsidR="00D90A4A">
        <w:rPr>
          <w:rFonts w:ascii="Arial" w:hAnsi="Arial" w:cs="Arial"/>
          <w:color w:val="000000"/>
        </w:rPr>
        <w:t xml:space="preserve">Granite OR Rhyolite </w:t>
      </w:r>
      <w:r w:rsidR="00D90A4A" w:rsidRPr="00AF0E71">
        <w:rPr>
          <w:rFonts w:ascii="Arial" w:hAnsi="Arial" w:cs="Arial"/>
          <w:color w:val="000000"/>
        </w:rPr>
        <w:sym w:font="Wingdings" w:char="F0E8"/>
      </w:r>
      <w:r w:rsidR="00D90A4A">
        <w:rPr>
          <w:rFonts w:ascii="Arial" w:hAnsi="Arial" w:cs="Arial"/>
          <w:color w:val="000000"/>
        </w:rPr>
        <w:t xml:space="preserve"> Schist</w:t>
      </w:r>
      <w:r w:rsidR="00D90A4A">
        <w:rPr>
          <w:rFonts w:ascii="Arial" w:hAnsi="Arial" w:cs="Arial"/>
          <w:color w:val="000000"/>
        </w:rPr>
        <w:br/>
      </w:r>
    </w:p>
    <w:p w:rsidR="00B51637" w:rsidRDefault="00D90A4A" w:rsidP="00131EA1">
      <w:pPr>
        <w:spacing w:after="0"/>
        <w:rPr>
          <w:rFonts w:ascii="Arial" w:hAnsi="Arial" w:cs="Arial"/>
          <w:color w:val="000000"/>
        </w:rPr>
      </w:pPr>
      <w:r>
        <w:rPr>
          <w:rFonts w:ascii="Arial" w:hAnsi="Arial" w:cs="Arial"/>
          <w:color w:val="000000"/>
        </w:rPr>
        <w:t>These names are familiar to most geologists, but not to many engineers and log analysts who grew up in a sedimentary world.</w:t>
      </w:r>
      <w:r>
        <w:rPr>
          <w:rFonts w:ascii="Arial" w:hAnsi="Arial" w:cs="Arial"/>
          <w:color w:val="000000"/>
        </w:rPr>
        <w:br/>
      </w:r>
      <w:bookmarkStart w:id="3" w:name="b4"/>
      <w:bookmarkEnd w:id="3"/>
      <w:r w:rsidR="00FE7127">
        <w:rPr>
          <w:rFonts w:ascii="Arial" w:hAnsi="Arial" w:cs="Arial"/>
          <w:b/>
          <w:bCs/>
          <w:caps/>
          <w:color w:val="FF0000"/>
        </w:rPr>
        <w:br/>
      </w:r>
      <w:r w:rsidR="00AE413C" w:rsidRPr="00B7194C">
        <w:rPr>
          <w:rFonts w:ascii="Arial" w:hAnsi="Arial" w:cs="Arial"/>
          <w:b/>
          <w:bCs/>
          <w:caps/>
        </w:rPr>
        <w:t>METAMORPHIC</w:t>
      </w:r>
      <w:r w:rsidR="00C40BEC" w:rsidRPr="00B7194C">
        <w:rPr>
          <w:rFonts w:ascii="Arial" w:hAnsi="Arial" w:cs="Arial"/>
          <w:b/>
          <w:bCs/>
          <w:caps/>
        </w:rPr>
        <w:t xml:space="preserve"> </w:t>
      </w:r>
      <w:r w:rsidR="00AE413C" w:rsidRPr="00B7194C">
        <w:rPr>
          <w:rFonts w:ascii="Arial" w:hAnsi="Arial" w:cs="Arial"/>
          <w:b/>
          <w:bCs/>
          <w:caps/>
        </w:rPr>
        <w:t>ROCK</w:t>
      </w:r>
      <w:r w:rsidR="00C40BEC" w:rsidRPr="00B7194C">
        <w:rPr>
          <w:rFonts w:ascii="Arial" w:hAnsi="Arial" w:cs="Arial"/>
          <w:b/>
          <w:bCs/>
          <w:caps/>
        </w:rPr>
        <w:t xml:space="preserve"> </w:t>
      </w:r>
      <w:r w:rsidR="00AE413C" w:rsidRPr="00B7194C">
        <w:rPr>
          <w:rFonts w:ascii="Arial" w:hAnsi="Arial" w:cs="Arial"/>
          <w:b/>
          <w:bCs/>
          <w:caps/>
        </w:rPr>
        <w:t>PROPERTIES</w:t>
      </w:r>
      <w:r w:rsidR="00AE413C" w:rsidRPr="001B0C52">
        <w:rPr>
          <w:rFonts w:ascii="Arial" w:hAnsi="Arial" w:cs="Arial"/>
          <w:b/>
          <w:bCs/>
          <w:caps/>
          <w:color w:val="FF0000"/>
        </w:rPr>
        <w:br/>
      </w:r>
      <w:r w:rsidR="00AE413C">
        <w:rPr>
          <w:rFonts w:ascii="Arial" w:hAnsi="Arial" w:cs="Arial"/>
          <w:color w:val="000000"/>
        </w:rPr>
        <w:t xml:space="preserve">The petrophysical properties of metamorphic rocks are often similar to their pre-metamorphic sedimentary counterparts as long as different minerals have not formed. Standard 2- and 3-mineral models, or probabilistic </w:t>
      </w:r>
      <w:r w:rsidR="001C08D3">
        <w:rPr>
          <w:rFonts w:ascii="Arial" w:hAnsi="Arial" w:cs="Arial"/>
          <w:color w:val="000000"/>
        </w:rPr>
        <w:t xml:space="preserve">multi-mineral </w:t>
      </w:r>
      <w:r w:rsidR="00AE413C">
        <w:rPr>
          <w:rFonts w:ascii="Arial" w:hAnsi="Arial" w:cs="Arial"/>
          <w:color w:val="000000"/>
        </w:rPr>
        <w:t xml:space="preserve">models, are used to calculate lithology. The </w:t>
      </w:r>
      <w:r w:rsidR="00AE413C">
        <w:rPr>
          <w:rFonts w:ascii="Arial" w:hAnsi="Arial" w:cs="Arial"/>
          <w:color w:val="000000"/>
        </w:rPr>
        <w:lastRenderedPageBreak/>
        <w:t>density neutron complex lithology model is used to calculate porosity when data and borehole conditions permit. Sonic neutron crossplot models can be used as an alternate when needed.</w:t>
      </w:r>
      <w:r w:rsidR="00C40BEC">
        <w:rPr>
          <w:rFonts w:ascii="Arial" w:hAnsi="Arial" w:cs="Arial"/>
          <w:color w:val="000000"/>
        </w:rPr>
        <w:br/>
      </w:r>
      <w:r w:rsidR="00B51637">
        <w:rPr>
          <w:rFonts w:ascii="Arial" w:hAnsi="Arial" w:cs="Arial"/>
          <w:color w:val="000000"/>
        </w:rPr>
        <w:br/>
      </w:r>
      <w:r w:rsidR="00C40BEC">
        <w:rPr>
          <w:rFonts w:ascii="Arial" w:hAnsi="Arial" w:cs="Arial"/>
          <w:color w:val="000000"/>
        </w:rPr>
        <w:t>All the algorithms needed are coded in mos</w:t>
      </w:r>
      <w:r w:rsidR="00131EA1">
        <w:rPr>
          <w:rFonts w:ascii="Arial" w:hAnsi="Arial" w:cs="Arial"/>
          <w:color w:val="000000"/>
        </w:rPr>
        <w:t>t petrophysical software packages. For explanations of the math, see Reference 1. See Table 1 at the end of this article for a list of matrix properties for metamorphic rocks.</w:t>
      </w:r>
    </w:p>
    <w:p w:rsidR="00B51637" w:rsidRDefault="00B51637" w:rsidP="00131EA1">
      <w:pPr>
        <w:spacing w:after="0"/>
        <w:rPr>
          <w:rFonts w:ascii="Arial" w:hAnsi="Arial" w:cs="Arial"/>
          <w:color w:val="000000"/>
        </w:rPr>
      </w:pP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24" w:type="dxa"/>
          <w:left w:w="24" w:type="dxa"/>
          <w:bottom w:w="24" w:type="dxa"/>
          <w:right w:w="24" w:type="dxa"/>
        </w:tblCellMar>
        <w:tblLook w:val="04A0" w:firstRow="1" w:lastRow="0" w:firstColumn="1" w:lastColumn="0" w:noHBand="0" w:noVBand="1"/>
      </w:tblPr>
      <w:tblGrid>
        <w:gridCol w:w="2138"/>
        <w:gridCol w:w="1338"/>
        <w:gridCol w:w="1130"/>
        <w:gridCol w:w="1132"/>
        <w:gridCol w:w="880"/>
        <w:gridCol w:w="1011"/>
        <w:gridCol w:w="1011"/>
        <w:gridCol w:w="1026"/>
      </w:tblGrid>
      <w:tr w:rsidR="0074490E" w:rsidTr="006B1F13">
        <w:trPr>
          <w:tblCellSpacing w:w="15" w:type="dxa"/>
        </w:trPr>
        <w:tc>
          <w:tcPr>
            <w:tcW w:w="0" w:type="auto"/>
            <w:gridSpan w:val="8"/>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74490E">
            <w:pPr>
              <w:pStyle w:val="NormalWeb"/>
              <w:jc w:val="center"/>
              <w:rPr>
                <w:color w:val="000000"/>
                <w:sz w:val="20"/>
                <w:szCs w:val="20"/>
              </w:rPr>
            </w:pPr>
            <w:r>
              <w:rPr>
                <w:rFonts w:ascii="Arial" w:hAnsi="Arial" w:cs="Arial"/>
                <w:b/>
                <w:bCs/>
                <w:color w:val="FFFFFF"/>
              </w:rPr>
              <w:t>MATRIX PROPERTIES FOR METAMORPHIC MINERALS</w:t>
            </w:r>
          </w:p>
        </w:tc>
      </w:tr>
      <w:tr w:rsidR="0074490E" w:rsidTr="006B1F13">
        <w:trPr>
          <w:tblCellSpacing w:w="15" w:type="dxa"/>
        </w:trPr>
        <w:tc>
          <w:tcPr>
            <w:tcW w:w="209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121B54">
            <w:pPr>
              <w:pStyle w:val="NormalIndent"/>
              <w:spacing w:before="0" w:beforeAutospacing="0" w:after="120" w:afterAutospacing="0"/>
              <w:jc w:val="center"/>
              <w:rPr>
                <w:color w:val="000000"/>
                <w:sz w:val="20"/>
                <w:szCs w:val="20"/>
              </w:rPr>
            </w:pPr>
            <w:r>
              <w:rPr>
                <w:rFonts w:ascii="Arial" w:hAnsi="Arial" w:cs="Arial"/>
                <w:i/>
                <w:iCs/>
                <w:color w:val="000000"/>
              </w:rPr>
              <w:t> </w:t>
            </w:r>
          </w:p>
        </w:tc>
        <w:tc>
          <w:tcPr>
            <w:tcW w:w="130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121B54">
            <w:pPr>
              <w:spacing w:after="0"/>
              <w:jc w:val="center"/>
              <w:rPr>
                <w:color w:val="000000"/>
                <w:sz w:val="20"/>
                <w:szCs w:val="20"/>
              </w:rPr>
            </w:pPr>
            <w:r>
              <w:rPr>
                <w:rFonts w:ascii="Arial" w:hAnsi="Arial" w:cs="Arial"/>
                <w:color w:val="000000"/>
              </w:rPr>
              <w:t>DENSMA</w:t>
            </w:r>
            <w:r>
              <w:rPr>
                <w:rFonts w:ascii="Arial" w:hAnsi="Arial" w:cs="Arial"/>
                <w:color w:val="000000"/>
              </w:rPr>
              <w:br/>
              <w:t>g/cc</w:t>
            </w:r>
          </w:p>
        </w:tc>
        <w:tc>
          <w:tcPr>
            <w:tcW w:w="110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121B54">
            <w:pPr>
              <w:pStyle w:val="NormalIndent"/>
              <w:spacing w:before="0" w:beforeAutospacing="0" w:after="120" w:afterAutospacing="0"/>
              <w:jc w:val="center"/>
              <w:rPr>
                <w:color w:val="000000"/>
                <w:sz w:val="20"/>
                <w:szCs w:val="20"/>
              </w:rPr>
            </w:pPr>
            <w:r>
              <w:rPr>
                <w:rFonts w:ascii="Arial" w:hAnsi="Arial" w:cs="Arial"/>
                <w:color w:val="000000"/>
              </w:rPr>
              <w:t>DTCMA</w:t>
            </w:r>
            <w:r>
              <w:rPr>
                <w:rFonts w:ascii="Arial" w:hAnsi="Arial" w:cs="Arial"/>
                <w:color w:val="000000"/>
              </w:rPr>
              <w:br/>
            </w:r>
            <w:r w:rsidR="00B7194C">
              <w:rPr>
                <w:rFonts w:ascii="Symbol" w:hAnsi="Symbol" w:cs="Arial"/>
                <w:color w:val="000000"/>
              </w:rPr>
              <w:t></w:t>
            </w:r>
            <w:r>
              <w:rPr>
                <w:rFonts w:ascii="Arial" w:hAnsi="Arial" w:cs="Arial"/>
                <w:color w:val="000000"/>
              </w:rPr>
              <w:t>sec/ft</w:t>
            </w:r>
          </w:p>
        </w:tc>
        <w:tc>
          <w:tcPr>
            <w:tcW w:w="110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121B54">
            <w:pPr>
              <w:spacing w:after="0"/>
              <w:jc w:val="center"/>
              <w:rPr>
                <w:color w:val="000000"/>
                <w:sz w:val="20"/>
                <w:szCs w:val="20"/>
              </w:rPr>
            </w:pPr>
            <w:r>
              <w:rPr>
                <w:rFonts w:ascii="Arial" w:hAnsi="Arial" w:cs="Arial"/>
                <w:color w:val="000000"/>
              </w:rPr>
              <w:t>PHINMA</w:t>
            </w:r>
            <w:r>
              <w:rPr>
                <w:rFonts w:ascii="Arial" w:hAnsi="Arial" w:cs="Arial"/>
                <w:color w:val="000000"/>
              </w:rPr>
              <w:br/>
              <w:t>frac</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121B54">
            <w:pPr>
              <w:pStyle w:val="NormalIndent"/>
              <w:spacing w:before="0" w:beforeAutospacing="0" w:after="120" w:afterAutospacing="0"/>
              <w:jc w:val="center"/>
              <w:rPr>
                <w:color w:val="000000"/>
                <w:sz w:val="20"/>
                <w:szCs w:val="20"/>
              </w:rPr>
            </w:pPr>
            <w:r>
              <w:rPr>
                <w:rFonts w:ascii="Arial" w:hAnsi="Arial" w:cs="Arial"/>
                <w:color w:val="000000"/>
              </w:rPr>
              <w:t>PE</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121B54">
            <w:pPr>
              <w:pStyle w:val="NormalIndent"/>
              <w:spacing w:before="0" w:beforeAutospacing="0" w:after="120" w:afterAutospacing="0"/>
              <w:jc w:val="center"/>
              <w:rPr>
                <w:color w:val="000000"/>
                <w:sz w:val="20"/>
                <w:szCs w:val="20"/>
              </w:rPr>
            </w:pPr>
            <w:r>
              <w:rPr>
                <w:rFonts w:ascii="Arial" w:hAnsi="Arial" w:cs="Arial"/>
                <w:color w:val="000000"/>
              </w:rPr>
              <w:t>Plith</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121B54">
            <w:pPr>
              <w:pStyle w:val="NormalIndent"/>
              <w:spacing w:before="0" w:beforeAutospacing="0" w:after="120" w:afterAutospacing="0"/>
              <w:jc w:val="center"/>
              <w:rPr>
                <w:color w:val="000000"/>
                <w:sz w:val="20"/>
                <w:szCs w:val="20"/>
              </w:rPr>
            </w:pPr>
            <w:r>
              <w:rPr>
                <w:rFonts w:ascii="Arial" w:hAnsi="Arial" w:cs="Arial"/>
                <w:color w:val="000000"/>
              </w:rPr>
              <w:t>Mlith</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121B54">
            <w:pPr>
              <w:pStyle w:val="NormalIndent"/>
              <w:spacing w:before="0" w:beforeAutospacing="0" w:after="120" w:afterAutospacing="0"/>
              <w:jc w:val="center"/>
              <w:rPr>
                <w:color w:val="000000"/>
                <w:sz w:val="20"/>
                <w:szCs w:val="20"/>
              </w:rPr>
            </w:pPr>
            <w:r>
              <w:rPr>
                <w:rFonts w:ascii="Arial" w:hAnsi="Arial" w:cs="Arial"/>
                <w:color w:val="000000"/>
              </w:rPr>
              <w:t>Nlith</w:t>
            </w:r>
          </w:p>
        </w:tc>
      </w:tr>
      <w:tr w:rsidR="0074490E" w:rsidTr="006B1F13">
        <w:trPr>
          <w:tblCellSpacing w:w="15" w:type="dxa"/>
        </w:trPr>
        <w:tc>
          <w:tcPr>
            <w:tcW w:w="209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9A57C4" w:rsidP="00121B54">
            <w:pPr>
              <w:pStyle w:val="NormalIndent"/>
              <w:spacing w:before="0" w:beforeAutospacing="0" w:after="0" w:afterAutospacing="0"/>
              <w:rPr>
                <w:color w:val="000000"/>
                <w:sz w:val="20"/>
                <w:szCs w:val="20"/>
              </w:rPr>
            </w:pPr>
            <w:r>
              <w:rPr>
                <w:rFonts w:ascii="Arial" w:hAnsi="Arial" w:cs="Arial"/>
                <w:color w:val="000000"/>
              </w:rPr>
              <w:t>Quarz</w:t>
            </w:r>
            <w:r w:rsidR="0074490E">
              <w:rPr>
                <w:rFonts w:ascii="Arial" w:hAnsi="Arial" w:cs="Arial"/>
                <w:color w:val="000000"/>
              </w:rPr>
              <w:t>ite</w:t>
            </w:r>
          </w:p>
        </w:tc>
        <w:tc>
          <w:tcPr>
            <w:tcW w:w="130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9A57C4" w:rsidP="009A57C4">
            <w:pPr>
              <w:spacing w:after="0"/>
              <w:jc w:val="center"/>
              <w:rPr>
                <w:color w:val="000000"/>
                <w:sz w:val="20"/>
                <w:szCs w:val="20"/>
              </w:rPr>
            </w:pPr>
            <w:r>
              <w:rPr>
                <w:rFonts w:ascii="Arial" w:hAnsi="Arial" w:cs="Arial"/>
                <w:color w:val="000000"/>
              </w:rPr>
              <w:t>2.65</w:t>
            </w:r>
          </w:p>
        </w:tc>
        <w:tc>
          <w:tcPr>
            <w:tcW w:w="110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9A57C4" w:rsidP="00A52E44">
            <w:pPr>
              <w:pStyle w:val="NormalIndent"/>
              <w:jc w:val="center"/>
              <w:rPr>
                <w:color w:val="000000"/>
                <w:sz w:val="20"/>
                <w:szCs w:val="20"/>
              </w:rPr>
            </w:pPr>
            <w:r>
              <w:rPr>
                <w:rFonts w:ascii="Arial" w:hAnsi="Arial" w:cs="Arial"/>
                <w:color w:val="000000"/>
              </w:rPr>
              <w:t>55</w:t>
            </w:r>
            <w:r w:rsidR="0074490E">
              <w:rPr>
                <w:rFonts w:ascii="Arial" w:hAnsi="Arial" w:cs="Arial"/>
                <w:color w:val="000000"/>
              </w:rPr>
              <w:t>.</w:t>
            </w:r>
            <w:r w:rsidR="00A52E44">
              <w:rPr>
                <w:rFonts w:ascii="Arial" w:hAnsi="Arial" w:cs="Arial"/>
                <w:color w:val="000000"/>
              </w:rPr>
              <w:t>5</w:t>
            </w:r>
          </w:p>
        </w:tc>
        <w:tc>
          <w:tcPr>
            <w:tcW w:w="110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9A57C4" w:rsidP="00A52E44">
            <w:pPr>
              <w:spacing w:after="0"/>
              <w:jc w:val="center"/>
              <w:rPr>
                <w:color w:val="000000"/>
                <w:sz w:val="20"/>
                <w:szCs w:val="20"/>
              </w:rPr>
            </w:pPr>
            <w:r>
              <w:rPr>
                <w:rFonts w:ascii="Arial" w:hAnsi="Arial" w:cs="Arial"/>
                <w:color w:val="000000"/>
              </w:rPr>
              <w:t>-</w:t>
            </w:r>
            <w:r w:rsidR="0074490E">
              <w:rPr>
                <w:rFonts w:ascii="Arial" w:hAnsi="Arial" w:cs="Arial"/>
                <w:color w:val="000000"/>
              </w:rPr>
              <w:t>0.0</w:t>
            </w:r>
            <w:r w:rsidR="00A52E44">
              <w:rPr>
                <w:rFonts w:ascii="Arial" w:hAnsi="Arial" w:cs="Arial"/>
                <w:color w:val="000000"/>
              </w:rPr>
              <w:t>28</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9A57C4" w:rsidP="00A52E44">
            <w:pPr>
              <w:pStyle w:val="NormalIndent"/>
              <w:jc w:val="center"/>
              <w:rPr>
                <w:color w:val="000000"/>
                <w:sz w:val="20"/>
                <w:szCs w:val="20"/>
              </w:rPr>
            </w:pPr>
            <w:r>
              <w:rPr>
                <w:rFonts w:ascii="Arial" w:hAnsi="Arial" w:cs="Arial"/>
                <w:color w:val="000000"/>
              </w:rPr>
              <w:t>1.8</w:t>
            </w:r>
            <w:r w:rsidR="00A52E44">
              <w:rPr>
                <w:rFonts w:ascii="Arial" w:hAnsi="Arial" w:cs="Arial"/>
                <w:color w:val="000000"/>
              </w:rPr>
              <w:t>2</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A52E44" w:rsidP="00A52E44">
            <w:pPr>
              <w:pStyle w:val="NormalIndent"/>
              <w:jc w:val="center"/>
              <w:rPr>
                <w:color w:val="000000"/>
                <w:sz w:val="20"/>
                <w:szCs w:val="20"/>
              </w:rPr>
            </w:pPr>
            <w:r>
              <w:rPr>
                <w:rFonts w:ascii="Arial" w:hAnsi="Arial" w:cs="Arial"/>
                <w:color w:val="000000"/>
              </w:rPr>
              <w:t>1</w:t>
            </w:r>
            <w:r w:rsidR="0074490E">
              <w:rPr>
                <w:rFonts w:ascii="Arial" w:hAnsi="Arial" w:cs="Arial"/>
                <w:color w:val="000000"/>
              </w:rPr>
              <w:t>.</w:t>
            </w:r>
            <w:r>
              <w:rPr>
                <w:rFonts w:ascii="Arial" w:hAnsi="Arial" w:cs="Arial"/>
                <w:color w:val="000000"/>
              </w:rPr>
              <w:t>174</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A52E44">
            <w:pPr>
              <w:pStyle w:val="NormalIndent"/>
              <w:jc w:val="center"/>
              <w:rPr>
                <w:color w:val="000000"/>
                <w:sz w:val="20"/>
                <w:szCs w:val="20"/>
              </w:rPr>
            </w:pPr>
            <w:r>
              <w:rPr>
                <w:rFonts w:ascii="Arial" w:hAnsi="Arial" w:cs="Arial"/>
                <w:color w:val="000000"/>
              </w:rPr>
              <w:t>0.</w:t>
            </w:r>
            <w:r w:rsidR="00A52E44">
              <w:rPr>
                <w:rFonts w:ascii="Arial" w:hAnsi="Arial" w:cs="Arial"/>
                <w:color w:val="000000"/>
              </w:rPr>
              <w:t>861</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A52E44">
            <w:pPr>
              <w:pStyle w:val="NormalIndent"/>
              <w:jc w:val="center"/>
              <w:rPr>
                <w:color w:val="000000"/>
                <w:sz w:val="20"/>
                <w:szCs w:val="20"/>
              </w:rPr>
            </w:pPr>
            <w:r>
              <w:rPr>
                <w:rFonts w:ascii="Arial" w:hAnsi="Arial" w:cs="Arial"/>
                <w:color w:val="000000"/>
              </w:rPr>
              <w:t>0.</w:t>
            </w:r>
            <w:r w:rsidR="00A52E44">
              <w:rPr>
                <w:rFonts w:ascii="Arial" w:hAnsi="Arial" w:cs="Arial"/>
                <w:color w:val="000000"/>
              </w:rPr>
              <w:t>663</w:t>
            </w:r>
          </w:p>
        </w:tc>
      </w:tr>
      <w:tr w:rsidR="0074490E" w:rsidTr="006B1F13">
        <w:trPr>
          <w:tblCellSpacing w:w="15" w:type="dxa"/>
        </w:trPr>
        <w:tc>
          <w:tcPr>
            <w:tcW w:w="209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9A57C4" w:rsidP="009A57C4">
            <w:pPr>
              <w:pStyle w:val="NormalIndent"/>
              <w:spacing w:before="0" w:beforeAutospacing="0" w:after="0" w:afterAutospacing="0"/>
              <w:rPr>
                <w:color w:val="000000"/>
                <w:sz w:val="20"/>
                <w:szCs w:val="20"/>
              </w:rPr>
            </w:pPr>
            <w:r>
              <w:rPr>
                <w:rFonts w:ascii="Arial" w:hAnsi="Arial" w:cs="Arial"/>
                <w:color w:val="000000"/>
              </w:rPr>
              <w:t>Lime Marble</w:t>
            </w:r>
          </w:p>
        </w:tc>
        <w:tc>
          <w:tcPr>
            <w:tcW w:w="130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A52E44" w:rsidP="00A52E44">
            <w:pPr>
              <w:spacing w:after="0"/>
              <w:jc w:val="center"/>
              <w:rPr>
                <w:color w:val="000000"/>
                <w:sz w:val="20"/>
                <w:szCs w:val="20"/>
              </w:rPr>
            </w:pPr>
            <w:r>
              <w:rPr>
                <w:rFonts w:ascii="Arial" w:hAnsi="Arial" w:cs="Arial"/>
                <w:color w:val="000000"/>
              </w:rPr>
              <w:t>2</w:t>
            </w:r>
            <w:r w:rsidR="0074490E">
              <w:rPr>
                <w:rFonts w:ascii="Arial" w:hAnsi="Arial" w:cs="Arial"/>
                <w:color w:val="000000"/>
              </w:rPr>
              <w:t>.</w:t>
            </w:r>
            <w:r>
              <w:rPr>
                <w:rFonts w:ascii="Arial" w:hAnsi="Arial" w:cs="Arial"/>
                <w:color w:val="000000"/>
              </w:rPr>
              <w:t>71</w:t>
            </w:r>
          </w:p>
        </w:tc>
        <w:tc>
          <w:tcPr>
            <w:tcW w:w="110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A52E44">
            <w:pPr>
              <w:pStyle w:val="NormalIndent"/>
              <w:jc w:val="center"/>
              <w:rPr>
                <w:color w:val="000000"/>
                <w:sz w:val="20"/>
                <w:szCs w:val="20"/>
              </w:rPr>
            </w:pPr>
            <w:r>
              <w:rPr>
                <w:rFonts w:ascii="Arial" w:hAnsi="Arial" w:cs="Arial"/>
                <w:color w:val="000000"/>
              </w:rPr>
              <w:t>4</w:t>
            </w:r>
            <w:r w:rsidR="00A52E44">
              <w:rPr>
                <w:rFonts w:ascii="Arial" w:hAnsi="Arial" w:cs="Arial"/>
                <w:color w:val="000000"/>
              </w:rPr>
              <w:t>7.3</w:t>
            </w:r>
          </w:p>
        </w:tc>
        <w:tc>
          <w:tcPr>
            <w:tcW w:w="110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121B54">
            <w:pPr>
              <w:spacing w:after="0"/>
              <w:jc w:val="center"/>
              <w:rPr>
                <w:color w:val="000000"/>
                <w:sz w:val="20"/>
                <w:szCs w:val="20"/>
              </w:rPr>
            </w:pPr>
            <w:r>
              <w:rPr>
                <w:rFonts w:ascii="Arial" w:hAnsi="Arial" w:cs="Arial"/>
                <w:color w:val="000000"/>
              </w:rPr>
              <w:t>0.0</w:t>
            </w:r>
            <w:r w:rsidR="00A52E44">
              <w:rPr>
                <w:rFonts w:ascii="Arial" w:hAnsi="Arial" w:cs="Arial"/>
                <w:color w:val="000000"/>
              </w:rPr>
              <w:t>00</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121B54">
            <w:pPr>
              <w:pStyle w:val="NormalIndent"/>
              <w:jc w:val="center"/>
              <w:rPr>
                <w:color w:val="000000"/>
                <w:sz w:val="20"/>
                <w:szCs w:val="20"/>
              </w:rPr>
            </w:pPr>
            <w:r>
              <w:rPr>
                <w:rFonts w:ascii="Arial" w:hAnsi="Arial" w:cs="Arial"/>
                <w:color w:val="000000"/>
              </w:rPr>
              <w:t>6.0</w:t>
            </w:r>
            <w:r w:rsidR="00A52E44">
              <w:rPr>
                <w:rFonts w:ascii="Arial" w:hAnsi="Arial" w:cs="Arial"/>
                <w:color w:val="000000"/>
              </w:rPr>
              <w:t>9</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A52E44" w:rsidP="00A52E44">
            <w:pPr>
              <w:pStyle w:val="NormalIndent"/>
              <w:jc w:val="center"/>
              <w:rPr>
                <w:color w:val="000000"/>
                <w:sz w:val="20"/>
                <w:szCs w:val="20"/>
              </w:rPr>
            </w:pPr>
            <w:r>
              <w:rPr>
                <w:rFonts w:ascii="Arial" w:hAnsi="Arial" w:cs="Arial"/>
                <w:color w:val="000000"/>
              </w:rPr>
              <w:t>3</w:t>
            </w:r>
            <w:r w:rsidR="0074490E">
              <w:rPr>
                <w:rFonts w:ascii="Arial" w:hAnsi="Arial" w:cs="Arial"/>
                <w:color w:val="000000"/>
              </w:rPr>
              <w:t>.</w:t>
            </w:r>
            <w:r>
              <w:rPr>
                <w:rFonts w:ascii="Arial" w:hAnsi="Arial" w:cs="Arial"/>
                <w:color w:val="000000"/>
              </w:rPr>
              <w:t>161</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A52E44">
            <w:pPr>
              <w:pStyle w:val="NormalIndent"/>
              <w:jc w:val="center"/>
              <w:rPr>
                <w:color w:val="000000"/>
                <w:sz w:val="20"/>
                <w:szCs w:val="20"/>
              </w:rPr>
            </w:pPr>
            <w:r>
              <w:rPr>
                <w:rFonts w:ascii="Arial" w:hAnsi="Arial" w:cs="Arial"/>
                <w:color w:val="000000"/>
              </w:rPr>
              <w:t>0.</w:t>
            </w:r>
            <w:r w:rsidR="00A52E44">
              <w:rPr>
                <w:rFonts w:ascii="Arial" w:hAnsi="Arial" w:cs="Arial"/>
                <w:color w:val="000000"/>
              </w:rPr>
              <w:t>880</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A52E44">
            <w:pPr>
              <w:pStyle w:val="NormalIndent"/>
              <w:jc w:val="center"/>
              <w:rPr>
                <w:color w:val="000000"/>
                <w:sz w:val="20"/>
                <w:szCs w:val="20"/>
              </w:rPr>
            </w:pPr>
            <w:r>
              <w:rPr>
                <w:rFonts w:ascii="Arial" w:hAnsi="Arial" w:cs="Arial"/>
                <w:color w:val="000000"/>
              </w:rPr>
              <w:t>0.</w:t>
            </w:r>
            <w:r w:rsidR="00A52E44">
              <w:rPr>
                <w:rFonts w:ascii="Arial" w:hAnsi="Arial" w:cs="Arial"/>
                <w:color w:val="000000"/>
              </w:rPr>
              <w:t>621</w:t>
            </w:r>
          </w:p>
        </w:tc>
      </w:tr>
      <w:tr w:rsidR="0074490E" w:rsidTr="006B1F13">
        <w:trPr>
          <w:tblCellSpacing w:w="15" w:type="dxa"/>
        </w:trPr>
        <w:tc>
          <w:tcPr>
            <w:tcW w:w="209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9A57C4" w:rsidP="009A57C4">
            <w:pPr>
              <w:pStyle w:val="NormalIndent"/>
              <w:spacing w:before="0" w:beforeAutospacing="0" w:after="0" w:afterAutospacing="0"/>
              <w:rPr>
                <w:color w:val="000000"/>
                <w:sz w:val="20"/>
                <w:szCs w:val="20"/>
              </w:rPr>
            </w:pPr>
            <w:r>
              <w:rPr>
                <w:rFonts w:ascii="Arial" w:hAnsi="Arial" w:cs="Arial"/>
                <w:color w:val="000000"/>
              </w:rPr>
              <w:t>Dolo Marble</w:t>
            </w:r>
          </w:p>
        </w:tc>
        <w:tc>
          <w:tcPr>
            <w:tcW w:w="130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00072C">
            <w:pPr>
              <w:spacing w:after="0"/>
              <w:jc w:val="center"/>
              <w:rPr>
                <w:color w:val="000000"/>
                <w:sz w:val="20"/>
                <w:szCs w:val="20"/>
              </w:rPr>
            </w:pPr>
            <w:r>
              <w:rPr>
                <w:rFonts w:ascii="Arial" w:hAnsi="Arial" w:cs="Arial"/>
                <w:color w:val="000000"/>
              </w:rPr>
              <w:t>2.</w:t>
            </w:r>
            <w:r w:rsidR="0000072C">
              <w:rPr>
                <w:rFonts w:ascii="Arial" w:hAnsi="Arial" w:cs="Arial"/>
                <w:color w:val="000000"/>
              </w:rPr>
              <w:t>90</w:t>
            </w:r>
          </w:p>
        </w:tc>
        <w:tc>
          <w:tcPr>
            <w:tcW w:w="110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545ED9" w:rsidP="00545ED9">
            <w:pPr>
              <w:pStyle w:val="NormalIndent"/>
              <w:jc w:val="center"/>
              <w:rPr>
                <w:color w:val="000000"/>
                <w:sz w:val="20"/>
                <w:szCs w:val="20"/>
              </w:rPr>
            </w:pPr>
            <w:r>
              <w:rPr>
                <w:rFonts w:ascii="Arial" w:hAnsi="Arial" w:cs="Arial"/>
                <w:color w:val="000000"/>
              </w:rPr>
              <w:t>43</w:t>
            </w:r>
            <w:r w:rsidR="0074490E">
              <w:rPr>
                <w:rFonts w:ascii="Arial" w:hAnsi="Arial" w:cs="Arial"/>
                <w:color w:val="000000"/>
              </w:rPr>
              <w:t>.</w:t>
            </w:r>
            <w:r>
              <w:rPr>
                <w:rFonts w:ascii="Arial" w:hAnsi="Arial" w:cs="Arial"/>
                <w:color w:val="000000"/>
              </w:rPr>
              <w:t>9</w:t>
            </w:r>
          </w:p>
        </w:tc>
        <w:tc>
          <w:tcPr>
            <w:tcW w:w="110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00072C">
            <w:pPr>
              <w:spacing w:after="0"/>
              <w:jc w:val="center"/>
              <w:rPr>
                <w:color w:val="000000"/>
                <w:sz w:val="20"/>
                <w:szCs w:val="20"/>
              </w:rPr>
            </w:pPr>
            <w:r>
              <w:rPr>
                <w:rFonts w:ascii="Arial" w:hAnsi="Arial" w:cs="Arial"/>
                <w:color w:val="000000"/>
              </w:rPr>
              <w:t>0.0</w:t>
            </w:r>
            <w:r w:rsidR="0000072C">
              <w:rPr>
                <w:rFonts w:ascii="Arial" w:hAnsi="Arial" w:cs="Arial"/>
                <w:color w:val="000000"/>
              </w:rPr>
              <w:t>4</w:t>
            </w:r>
            <w:r w:rsidR="00545ED9">
              <w:rPr>
                <w:rFonts w:ascii="Arial" w:hAnsi="Arial" w:cs="Arial"/>
                <w:color w:val="000000"/>
              </w:rPr>
              <w:t>0</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545ED9" w:rsidP="00545ED9">
            <w:pPr>
              <w:pStyle w:val="NormalIndent"/>
              <w:jc w:val="center"/>
              <w:rPr>
                <w:color w:val="000000"/>
                <w:sz w:val="20"/>
                <w:szCs w:val="20"/>
              </w:rPr>
            </w:pPr>
            <w:r>
              <w:rPr>
                <w:rFonts w:ascii="Arial" w:hAnsi="Arial" w:cs="Arial"/>
                <w:color w:val="000000"/>
              </w:rPr>
              <w:t>3</w:t>
            </w:r>
            <w:r w:rsidR="0074490E">
              <w:rPr>
                <w:rFonts w:ascii="Arial" w:hAnsi="Arial" w:cs="Arial"/>
                <w:color w:val="000000"/>
              </w:rPr>
              <w:t>.</w:t>
            </w:r>
            <w:r>
              <w:rPr>
                <w:rFonts w:ascii="Arial" w:hAnsi="Arial" w:cs="Arial"/>
                <w:color w:val="000000"/>
              </w:rPr>
              <w:t>13</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545ED9">
            <w:pPr>
              <w:pStyle w:val="NormalIndent"/>
              <w:jc w:val="center"/>
              <w:rPr>
                <w:color w:val="000000"/>
                <w:sz w:val="20"/>
                <w:szCs w:val="20"/>
              </w:rPr>
            </w:pPr>
            <w:r>
              <w:rPr>
                <w:rFonts w:ascii="Arial" w:hAnsi="Arial" w:cs="Arial"/>
                <w:color w:val="000000"/>
              </w:rPr>
              <w:t>1.</w:t>
            </w:r>
            <w:r w:rsidR="00545ED9">
              <w:rPr>
                <w:rFonts w:ascii="Arial" w:hAnsi="Arial" w:cs="Arial"/>
                <w:color w:val="000000"/>
              </w:rPr>
              <w:t>759</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545ED9">
            <w:pPr>
              <w:pStyle w:val="NormalIndent"/>
              <w:jc w:val="center"/>
              <w:rPr>
                <w:color w:val="000000"/>
                <w:sz w:val="20"/>
                <w:szCs w:val="20"/>
              </w:rPr>
            </w:pPr>
            <w:r>
              <w:rPr>
                <w:rFonts w:ascii="Arial" w:hAnsi="Arial" w:cs="Arial"/>
                <w:color w:val="000000"/>
              </w:rPr>
              <w:t>0.8</w:t>
            </w:r>
            <w:r w:rsidR="00545ED9">
              <w:rPr>
                <w:rFonts w:ascii="Arial" w:hAnsi="Arial" w:cs="Arial"/>
                <w:color w:val="000000"/>
              </w:rPr>
              <w:t>19</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545ED9">
            <w:pPr>
              <w:pStyle w:val="NormalIndent"/>
              <w:jc w:val="center"/>
              <w:rPr>
                <w:color w:val="000000"/>
                <w:sz w:val="20"/>
                <w:szCs w:val="20"/>
              </w:rPr>
            </w:pPr>
            <w:r>
              <w:rPr>
                <w:rFonts w:ascii="Arial" w:hAnsi="Arial" w:cs="Arial"/>
                <w:color w:val="000000"/>
              </w:rPr>
              <w:t>0.</w:t>
            </w:r>
            <w:r w:rsidR="00545ED9">
              <w:rPr>
                <w:rFonts w:ascii="Arial" w:hAnsi="Arial" w:cs="Arial"/>
                <w:color w:val="000000"/>
              </w:rPr>
              <w:t>562</w:t>
            </w:r>
          </w:p>
        </w:tc>
      </w:tr>
      <w:tr w:rsidR="0074490E" w:rsidTr="006B1F13">
        <w:trPr>
          <w:tblCellSpacing w:w="15" w:type="dxa"/>
        </w:trPr>
        <w:tc>
          <w:tcPr>
            <w:tcW w:w="209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9A57C4" w:rsidP="009A57C4">
            <w:pPr>
              <w:pStyle w:val="NormalIndent"/>
              <w:spacing w:before="0" w:beforeAutospacing="0" w:after="0" w:afterAutospacing="0"/>
              <w:rPr>
                <w:color w:val="000000"/>
                <w:sz w:val="20"/>
                <w:szCs w:val="20"/>
              </w:rPr>
            </w:pPr>
            <w:r>
              <w:rPr>
                <w:rFonts w:ascii="Arial" w:hAnsi="Arial" w:cs="Arial"/>
                <w:color w:val="000000"/>
              </w:rPr>
              <w:t>Slate</w:t>
            </w:r>
          </w:p>
        </w:tc>
        <w:tc>
          <w:tcPr>
            <w:tcW w:w="130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00072C" w:rsidP="0000072C">
            <w:pPr>
              <w:spacing w:after="0"/>
              <w:jc w:val="center"/>
              <w:rPr>
                <w:color w:val="000000"/>
                <w:sz w:val="20"/>
                <w:szCs w:val="20"/>
              </w:rPr>
            </w:pPr>
            <w:r>
              <w:rPr>
                <w:rFonts w:ascii="Arial" w:hAnsi="Arial" w:cs="Arial"/>
                <w:color w:val="000000"/>
              </w:rPr>
              <w:t>3</w:t>
            </w:r>
            <w:r w:rsidR="0074490E">
              <w:rPr>
                <w:rFonts w:ascii="Arial" w:hAnsi="Arial" w:cs="Arial"/>
                <w:color w:val="000000"/>
              </w:rPr>
              <w:t>.</w:t>
            </w:r>
            <w:r>
              <w:rPr>
                <w:rFonts w:ascii="Arial" w:hAnsi="Arial" w:cs="Arial"/>
                <w:color w:val="000000"/>
              </w:rPr>
              <w:t>1</w:t>
            </w:r>
            <w:r w:rsidR="0074490E">
              <w:rPr>
                <w:rFonts w:ascii="Arial" w:hAnsi="Arial" w:cs="Arial"/>
                <w:color w:val="000000"/>
              </w:rPr>
              <w:t>5</w:t>
            </w:r>
          </w:p>
        </w:tc>
        <w:tc>
          <w:tcPr>
            <w:tcW w:w="110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121B54">
            <w:pPr>
              <w:pStyle w:val="NormalIndent"/>
              <w:jc w:val="center"/>
              <w:rPr>
                <w:color w:val="000000"/>
                <w:sz w:val="20"/>
                <w:szCs w:val="20"/>
              </w:rPr>
            </w:pPr>
            <w:r>
              <w:rPr>
                <w:rFonts w:ascii="Arial" w:hAnsi="Arial" w:cs="Arial"/>
                <w:color w:val="000000"/>
              </w:rPr>
              <w:t>6</w:t>
            </w:r>
            <w:r w:rsidR="0000072C">
              <w:rPr>
                <w:rFonts w:ascii="Arial" w:hAnsi="Arial" w:cs="Arial"/>
                <w:color w:val="000000"/>
              </w:rPr>
              <w:t>0</w:t>
            </w:r>
            <w:r>
              <w:rPr>
                <w:rFonts w:ascii="Arial" w:hAnsi="Arial" w:cs="Arial"/>
                <w:color w:val="000000"/>
              </w:rPr>
              <w:t>.0</w:t>
            </w:r>
          </w:p>
        </w:tc>
        <w:tc>
          <w:tcPr>
            <w:tcW w:w="110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121B54">
            <w:pPr>
              <w:spacing w:after="0"/>
              <w:jc w:val="center"/>
              <w:rPr>
                <w:color w:val="000000"/>
                <w:sz w:val="20"/>
                <w:szCs w:val="20"/>
              </w:rPr>
            </w:pPr>
            <w:r>
              <w:rPr>
                <w:rFonts w:ascii="Arial" w:hAnsi="Arial" w:cs="Arial"/>
                <w:color w:val="000000"/>
              </w:rPr>
              <w:t>-0.03</w:t>
            </w:r>
            <w:r w:rsidR="0000072C">
              <w:rPr>
                <w:rFonts w:ascii="Arial" w:hAnsi="Arial" w:cs="Arial"/>
                <w:color w:val="000000"/>
              </w:rPr>
              <w:t>0</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00072C" w:rsidP="0000072C">
            <w:pPr>
              <w:pStyle w:val="NormalIndent"/>
              <w:jc w:val="center"/>
              <w:rPr>
                <w:color w:val="000000"/>
                <w:sz w:val="20"/>
                <w:szCs w:val="20"/>
              </w:rPr>
            </w:pPr>
            <w:r>
              <w:rPr>
                <w:rFonts w:ascii="Arial" w:hAnsi="Arial" w:cs="Arial"/>
                <w:color w:val="000000"/>
              </w:rPr>
              <w:t>3</w:t>
            </w:r>
            <w:r w:rsidR="0074490E">
              <w:rPr>
                <w:rFonts w:ascii="Arial" w:hAnsi="Arial" w:cs="Arial"/>
                <w:color w:val="000000"/>
              </w:rPr>
              <w:t>.</w:t>
            </w:r>
            <w:r>
              <w:rPr>
                <w:rFonts w:ascii="Arial" w:hAnsi="Arial" w:cs="Arial"/>
                <w:color w:val="000000"/>
              </w:rPr>
              <w:t>55</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00072C" w:rsidP="00121B54">
            <w:pPr>
              <w:pStyle w:val="NormalIndent"/>
              <w:jc w:val="center"/>
              <w:rPr>
                <w:color w:val="000000"/>
                <w:sz w:val="20"/>
                <w:szCs w:val="20"/>
              </w:rPr>
            </w:pPr>
            <w:r>
              <w:rPr>
                <w:rFonts w:ascii="Arial" w:hAnsi="Arial" w:cs="Arial"/>
                <w:color w:val="000000"/>
              </w:rPr>
              <w:t>?</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00072C" w:rsidP="00121B54">
            <w:pPr>
              <w:pStyle w:val="NormalIndent"/>
              <w:jc w:val="center"/>
              <w:rPr>
                <w:color w:val="000000"/>
                <w:sz w:val="20"/>
                <w:szCs w:val="20"/>
              </w:rPr>
            </w:pPr>
            <w:r>
              <w:rPr>
                <w:rFonts w:ascii="Arial" w:hAnsi="Arial" w:cs="Arial"/>
                <w:color w:val="000000"/>
              </w:rPr>
              <w:t>?</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00072C" w:rsidP="00121B54">
            <w:pPr>
              <w:pStyle w:val="NormalIndent"/>
              <w:jc w:val="center"/>
              <w:rPr>
                <w:color w:val="000000"/>
                <w:sz w:val="20"/>
                <w:szCs w:val="20"/>
              </w:rPr>
            </w:pPr>
            <w:r>
              <w:rPr>
                <w:rFonts w:ascii="Arial" w:hAnsi="Arial" w:cs="Arial"/>
                <w:color w:val="000000"/>
              </w:rPr>
              <w:t>?</w:t>
            </w:r>
          </w:p>
        </w:tc>
      </w:tr>
      <w:tr w:rsidR="0074490E" w:rsidTr="006B1F13">
        <w:trPr>
          <w:tblCellSpacing w:w="15" w:type="dxa"/>
        </w:trPr>
        <w:tc>
          <w:tcPr>
            <w:tcW w:w="209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9A57C4" w:rsidP="009A57C4">
            <w:pPr>
              <w:pStyle w:val="NormalIndent"/>
              <w:spacing w:before="0" w:beforeAutospacing="0" w:after="0" w:afterAutospacing="0"/>
              <w:rPr>
                <w:color w:val="000000"/>
                <w:sz w:val="20"/>
                <w:szCs w:val="20"/>
              </w:rPr>
            </w:pPr>
            <w:r>
              <w:rPr>
                <w:rFonts w:ascii="Arial" w:hAnsi="Arial" w:cs="Arial"/>
                <w:color w:val="000000"/>
              </w:rPr>
              <w:t>Granite Schist</w:t>
            </w:r>
          </w:p>
        </w:tc>
        <w:tc>
          <w:tcPr>
            <w:tcW w:w="130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00072C">
            <w:pPr>
              <w:spacing w:after="0"/>
              <w:jc w:val="center"/>
              <w:rPr>
                <w:color w:val="000000"/>
                <w:sz w:val="20"/>
                <w:szCs w:val="20"/>
              </w:rPr>
            </w:pPr>
            <w:r>
              <w:rPr>
                <w:rFonts w:ascii="Arial" w:hAnsi="Arial" w:cs="Arial"/>
                <w:color w:val="000000"/>
              </w:rPr>
              <w:t>2.6</w:t>
            </w:r>
            <w:r w:rsidR="0000072C">
              <w:rPr>
                <w:rFonts w:ascii="Arial" w:hAnsi="Arial" w:cs="Arial"/>
                <w:color w:val="000000"/>
              </w:rPr>
              <w:t>6</w:t>
            </w:r>
          </w:p>
        </w:tc>
        <w:tc>
          <w:tcPr>
            <w:tcW w:w="110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00072C">
            <w:pPr>
              <w:pStyle w:val="NormalIndent"/>
              <w:jc w:val="center"/>
              <w:rPr>
                <w:color w:val="000000"/>
                <w:sz w:val="20"/>
                <w:szCs w:val="20"/>
              </w:rPr>
            </w:pPr>
            <w:r>
              <w:rPr>
                <w:rFonts w:ascii="Arial" w:hAnsi="Arial" w:cs="Arial"/>
                <w:color w:val="000000"/>
              </w:rPr>
              <w:t>5</w:t>
            </w:r>
            <w:r w:rsidR="0000072C">
              <w:rPr>
                <w:rFonts w:ascii="Arial" w:hAnsi="Arial" w:cs="Arial"/>
                <w:color w:val="000000"/>
              </w:rPr>
              <w:t>5</w:t>
            </w:r>
            <w:r>
              <w:rPr>
                <w:rFonts w:ascii="Arial" w:hAnsi="Arial" w:cs="Arial"/>
                <w:color w:val="000000"/>
              </w:rPr>
              <w:t>.0</w:t>
            </w:r>
          </w:p>
        </w:tc>
        <w:tc>
          <w:tcPr>
            <w:tcW w:w="110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74490E" w:rsidP="00121B54">
            <w:pPr>
              <w:spacing w:after="0"/>
              <w:jc w:val="center"/>
              <w:rPr>
                <w:color w:val="000000"/>
                <w:sz w:val="20"/>
                <w:szCs w:val="20"/>
              </w:rPr>
            </w:pPr>
            <w:r>
              <w:rPr>
                <w:rFonts w:ascii="Arial" w:hAnsi="Arial" w:cs="Arial"/>
                <w:color w:val="000000"/>
              </w:rPr>
              <w:t>0.0</w:t>
            </w:r>
            <w:r w:rsidR="0000072C">
              <w:rPr>
                <w:rFonts w:ascii="Arial" w:hAnsi="Arial" w:cs="Arial"/>
                <w:color w:val="000000"/>
              </w:rPr>
              <w:t>00</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00072C" w:rsidP="0000072C">
            <w:pPr>
              <w:pStyle w:val="NormalIndent"/>
              <w:jc w:val="center"/>
              <w:rPr>
                <w:color w:val="000000"/>
                <w:sz w:val="20"/>
                <w:szCs w:val="20"/>
              </w:rPr>
            </w:pPr>
            <w:r>
              <w:rPr>
                <w:rFonts w:ascii="Arial" w:hAnsi="Arial" w:cs="Arial"/>
                <w:color w:val="000000"/>
              </w:rPr>
              <w:t>1</w:t>
            </w:r>
            <w:r w:rsidR="0074490E">
              <w:rPr>
                <w:rFonts w:ascii="Arial" w:hAnsi="Arial" w:cs="Arial"/>
                <w:color w:val="000000"/>
              </w:rPr>
              <w:t>.</w:t>
            </w:r>
            <w:r>
              <w:rPr>
                <w:rFonts w:ascii="Arial" w:hAnsi="Arial" w:cs="Arial"/>
                <w:color w:val="000000"/>
              </w:rPr>
              <w:t>88</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00072C" w:rsidP="00121B54">
            <w:pPr>
              <w:pStyle w:val="NormalIndent"/>
              <w:jc w:val="center"/>
              <w:rPr>
                <w:color w:val="000000"/>
                <w:sz w:val="20"/>
                <w:szCs w:val="20"/>
              </w:rPr>
            </w:pPr>
            <w:r>
              <w:rPr>
                <w:rFonts w:ascii="Arial" w:hAnsi="Arial" w:cs="Arial"/>
                <w:color w:val="000000"/>
              </w:rPr>
              <w:t>1.174</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535167" w:rsidP="00121B54">
            <w:pPr>
              <w:pStyle w:val="NormalIndent"/>
              <w:jc w:val="center"/>
              <w:rPr>
                <w:color w:val="000000"/>
                <w:sz w:val="20"/>
                <w:szCs w:val="20"/>
              </w:rPr>
            </w:pPr>
            <w:r>
              <w:rPr>
                <w:rFonts w:ascii="Arial" w:hAnsi="Arial" w:cs="Arial"/>
                <w:color w:val="000000"/>
              </w:rPr>
              <w:t>0.861</w:t>
            </w:r>
          </w:p>
        </w:tc>
        <w:tc>
          <w:tcPr>
            <w:tcW w:w="9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74490E" w:rsidRDefault="00535167" w:rsidP="00121B54">
            <w:pPr>
              <w:pStyle w:val="NormalIndent"/>
              <w:jc w:val="center"/>
              <w:rPr>
                <w:color w:val="000000"/>
                <w:sz w:val="20"/>
                <w:szCs w:val="20"/>
              </w:rPr>
            </w:pPr>
            <w:r>
              <w:rPr>
                <w:rFonts w:ascii="Arial" w:hAnsi="Arial" w:cs="Arial"/>
                <w:color w:val="000000"/>
              </w:rPr>
              <w:t>0.663</w:t>
            </w:r>
          </w:p>
        </w:tc>
      </w:tr>
    </w:tbl>
    <w:p w:rsidR="00535167" w:rsidRDefault="00535167" w:rsidP="00131EA1">
      <w:pPr>
        <w:spacing w:after="0"/>
        <w:rPr>
          <w:rFonts w:ascii="Arial" w:hAnsi="Arial" w:cs="Arial"/>
          <w:color w:val="000000"/>
          <w:lang w:val="en-US"/>
        </w:rPr>
      </w:pPr>
    </w:p>
    <w:p w:rsidR="00AE413C" w:rsidRDefault="00AE413C" w:rsidP="00954C86">
      <w:pPr>
        <w:spacing w:after="0"/>
        <w:rPr>
          <w:color w:val="000000"/>
        </w:rPr>
      </w:pPr>
      <w:r>
        <w:rPr>
          <w:rFonts w:ascii="Arial" w:hAnsi="Arial" w:cs="Arial"/>
          <w:color w:val="000000"/>
          <w:lang w:val="en-US"/>
        </w:rPr>
        <w:br/>
      </w:r>
      <w:bookmarkStart w:id="4" w:name="b5"/>
      <w:bookmarkEnd w:id="4"/>
      <w:r w:rsidRPr="00B7194C">
        <w:rPr>
          <w:rFonts w:ascii="Arial" w:hAnsi="Arial" w:cs="Arial"/>
          <w:b/>
          <w:bCs/>
          <w:caps/>
        </w:rPr>
        <w:t>Igneous rock classification</w:t>
      </w:r>
      <w:r w:rsidRPr="00B7194C">
        <w:rPr>
          <w:rFonts w:ascii="Arial" w:hAnsi="Arial" w:cs="Arial"/>
          <w:b/>
          <w:bCs/>
          <w:caps/>
        </w:rPr>
        <w:br/>
      </w:r>
      <w:r w:rsidR="007F67BB">
        <w:rPr>
          <w:rFonts w:ascii="Arial" w:hAnsi="Arial" w:cs="Arial"/>
          <w:color w:val="000000"/>
        </w:rPr>
        <w:t>Most people think of granite or lava flows w</w:t>
      </w:r>
      <w:r w:rsidR="00BC29D8">
        <w:rPr>
          <w:rFonts w:ascii="Arial" w:hAnsi="Arial" w:cs="Arial"/>
          <w:color w:val="000000"/>
        </w:rPr>
        <w:t>hen igneous rocks are mentioned</w:t>
      </w:r>
      <w:r w:rsidR="00B7194C">
        <w:rPr>
          <w:rFonts w:ascii="Arial" w:hAnsi="Arial" w:cs="Arial"/>
          <w:color w:val="000000"/>
        </w:rPr>
        <w:t xml:space="preserve">.  </w:t>
      </w:r>
      <w:r w:rsidR="007F67BB">
        <w:rPr>
          <w:rFonts w:ascii="Arial" w:hAnsi="Arial" w:cs="Arial"/>
          <w:color w:val="000000"/>
        </w:rPr>
        <w:t xml:space="preserve">If only it was that simple. There are many variations in rock properties and rock types to take into account during a petrophysical analysis. The mineral and porosity models needed are the same as </w:t>
      </w:r>
      <w:r w:rsidR="004B03A3">
        <w:rPr>
          <w:rFonts w:ascii="Arial" w:hAnsi="Arial" w:cs="Arial"/>
          <w:color w:val="000000"/>
        </w:rPr>
        <w:t>not</w:t>
      </w:r>
      <w:r w:rsidR="007F67BB">
        <w:rPr>
          <w:rFonts w:ascii="Arial" w:hAnsi="Arial" w:cs="Arial"/>
          <w:color w:val="000000"/>
        </w:rPr>
        <w:t xml:space="preserve">ed </w:t>
      </w:r>
      <w:r w:rsidR="004B03A3">
        <w:rPr>
          <w:rFonts w:ascii="Arial" w:hAnsi="Arial" w:cs="Arial"/>
          <w:color w:val="000000"/>
        </w:rPr>
        <w:t>earlier</w:t>
      </w:r>
      <w:r w:rsidR="007F67BB">
        <w:rPr>
          <w:rFonts w:ascii="Arial" w:hAnsi="Arial" w:cs="Arial"/>
          <w:color w:val="000000"/>
        </w:rPr>
        <w:t xml:space="preserve"> for metamorphic rocks</w:t>
      </w:r>
      <w:r w:rsidR="00B7194C">
        <w:rPr>
          <w:rFonts w:ascii="Arial" w:hAnsi="Arial" w:cs="Arial"/>
          <w:color w:val="000000"/>
        </w:rPr>
        <w:t>.</w:t>
      </w:r>
      <w:r w:rsidR="004B03A3">
        <w:rPr>
          <w:rFonts w:ascii="Arial" w:hAnsi="Arial" w:cs="Arial"/>
          <w:color w:val="000000"/>
        </w:rPr>
        <w:t xml:space="preserve"> It is more</w:t>
      </w:r>
      <w:r w:rsidR="00BC29D8">
        <w:rPr>
          <w:rFonts w:ascii="Arial" w:hAnsi="Arial" w:cs="Arial"/>
          <w:color w:val="000000"/>
        </w:rPr>
        <w:t xml:space="preserve"> challenging because geologists</w:t>
      </w:r>
      <w:r w:rsidR="004B03A3">
        <w:rPr>
          <w:rFonts w:ascii="Arial" w:hAnsi="Arial" w:cs="Arial"/>
          <w:color w:val="000000"/>
        </w:rPr>
        <w:t xml:space="preserve"> describe rock-types, which are variable mixtures of minerals, while logs respond only to minerals and not rock-types. We will show how to fix that later on in this article.</w:t>
      </w:r>
      <w:r w:rsidR="007F67BB">
        <w:rPr>
          <w:rFonts w:ascii="Arial" w:hAnsi="Arial" w:cs="Arial"/>
          <w:color w:val="000000"/>
        </w:rPr>
        <w:br/>
      </w:r>
      <w:r w:rsidR="007F67BB">
        <w:rPr>
          <w:rFonts w:ascii="Arial" w:hAnsi="Arial" w:cs="Arial"/>
          <w:color w:val="000000"/>
        </w:rPr>
        <w:br/>
        <w:t>I</w:t>
      </w:r>
      <w:r>
        <w:rPr>
          <w:rFonts w:ascii="Arial" w:hAnsi="Arial" w:cs="Arial"/>
          <w:color w:val="000000"/>
        </w:rPr>
        <w:t>gneous rocks are classified in several ways – by composition, texture, and method of emplacement. The composition (mineral mixture and internal porosity) determines the log response. The texture determines the name used for the mineral mixture, and the method of emplacement determines the texture and internal porosity structure (if any). The same mineral mixture can have more than one name based on its crystal size and method of emplacement.</w:t>
      </w:r>
      <w:r w:rsidR="00954C86">
        <w:rPr>
          <w:rFonts w:ascii="Arial" w:hAnsi="Arial" w:cs="Arial"/>
          <w:color w:val="000000"/>
        </w:rPr>
        <w:br/>
      </w:r>
      <w:r w:rsidR="00954C86">
        <w:rPr>
          <w:rFonts w:ascii="Arial" w:hAnsi="Arial" w:cs="Arial"/>
          <w:color w:val="000000"/>
        </w:rPr>
        <w:br/>
      </w:r>
      <w:r>
        <w:rPr>
          <w:rFonts w:ascii="Arial" w:hAnsi="Arial" w:cs="Arial"/>
          <w:color w:val="000000"/>
        </w:rPr>
        <w:t>Intrusive igneous rocks are formed inside the earth. This type cools very slowly and is produced by magma from the interior of the earth. They have large grains, may contain gas pockets, and usually have a high fraction of silicate minerals. Intrusions are called sills when lying roughly horizontal and dikes when near vertical.</w:t>
      </w:r>
      <w:r w:rsidR="00954C86">
        <w:rPr>
          <w:rFonts w:ascii="Arial" w:hAnsi="Arial" w:cs="Arial"/>
          <w:color w:val="000000"/>
        </w:rPr>
        <w:br/>
      </w:r>
      <w:r w:rsidR="00954C86">
        <w:rPr>
          <w:rFonts w:ascii="Arial" w:hAnsi="Arial" w:cs="Arial"/>
          <w:color w:val="000000"/>
        </w:rPr>
        <w:br/>
      </w:r>
      <w:r>
        <w:rPr>
          <w:rFonts w:ascii="Arial" w:hAnsi="Arial" w:cs="Arial"/>
          <w:color w:val="000000"/>
        </w:rPr>
        <w:t xml:space="preserve">Extrusive igneous rocks form on the surface of the earth from lava flows. These cool quickly. They have small grains and contain little to no gas. </w:t>
      </w:r>
      <w:r w:rsidR="00954C86">
        <w:rPr>
          <w:rFonts w:ascii="Arial" w:hAnsi="Arial" w:cs="Arial"/>
          <w:color w:val="000000"/>
        </w:rPr>
        <w:br/>
      </w:r>
      <w:r w:rsidR="00954C86">
        <w:rPr>
          <w:rFonts w:ascii="Arial" w:hAnsi="Arial" w:cs="Arial"/>
          <w:color w:val="000000"/>
        </w:rPr>
        <w:br/>
      </w:r>
      <w:r>
        <w:rPr>
          <w:rFonts w:ascii="Arial" w:hAnsi="Arial" w:cs="Arial"/>
          <w:color w:val="000000"/>
        </w:rPr>
        <w:t>Both intrusive and extrusive rocks may contain natural fractures from contraction while cooling, and may have carried non-igneous rocks with them, called xenoliths.</w:t>
      </w:r>
      <w:r w:rsidR="00954C86">
        <w:rPr>
          <w:rFonts w:ascii="Arial" w:hAnsi="Arial" w:cs="Arial"/>
          <w:color w:val="000000"/>
        </w:rPr>
        <w:br/>
      </w:r>
      <w:r w:rsidR="00954C86">
        <w:rPr>
          <w:rFonts w:ascii="Arial" w:hAnsi="Arial" w:cs="Arial"/>
          <w:color w:val="000000"/>
        </w:rPr>
        <w:br/>
      </w:r>
      <w:r>
        <w:rPr>
          <w:rFonts w:ascii="Arial" w:hAnsi="Arial" w:cs="Arial"/>
          <w:color w:val="000000"/>
        </w:rPr>
        <w:lastRenderedPageBreak/>
        <w:t xml:space="preserve">Intrusive rocks may alter the rocks above and below them by metamorphosing (baking) the rock near the intrusion. Extrusives only heat the rock below them, and may not cause much </w:t>
      </w:r>
      <w:r w:rsidR="00954C86">
        <w:rPr>
          <w:rFonts w:ascii="Arial" w:hAnsi="Arial" w:cs="Arial"/>
          <w:color w:val="000000"/>
        </w:rPr>
        <w:br/>
      </w:r>
      <w:r w:rsidR="00954C86">
        <w:rPr>
          <w:rFonts w:ascii="Arial" w:hAnsi="Arial" w:cs="Arial"/>
          <w:color w:val="000000"/>
        </w:rPr>
        <w:br/>
      </w:r>
      <w:r w:rsidR="00BC29D8">
        <w:rPr>
          <w:rFonts w:ascii="Arial" w:hAnsi="Arial" w:cs="Arial"/>
          <w:color w:val="000000"/>
        </w:rPr>
        <w:t>iteration</w:t>
      </w:r>
      <w:r>
        <w:rPr>
          <w:rFonts w:ascii="Arial" w:hAnsi="Arial" w:cs="Arial"/>
          <w:color w:val="000000"/>
        </w:rPr>
        <w:t xml:space="preserve"> due to rapid cooling. Extrusives can be buried by later sedimentation, and are difficult to distinguish from intrusives, except by their chemical composition and grain size.</w:t>
      </w:r>
      <w:r w:rsidR="00954C86">
        <w:rPr>
          <w:rFonts w:ascii="Arial" w:hAnsi="Arial" w:cs="Arial"/>
          <w:color w:val="000000"/>
        </w:rPr>
        <w:br/>
      </w:r>
      <w:r w:rsidR="00954C86">
        <w:rPr>
          <w:rFonts w:ascii="Arial" w:hAnsi="Arial" w:cs="Arial"/>
          <w:color w:val="000000"/>
        </w:rPr>
        <w:br/>
      </w:r>
      <w:r>
        <w:rPr>
          <w:rFonts w:ascii="Arial" w:hAnsi="Arial" w:cs="Arial"/>
          <w:color w:val="000000"/>
        </w:rPr>
        <w:t xml:space="preserve">The mineral composition of an igneous rock depends on where and how the rock was formed. Magmas around the world have different mineral make up. </w:t>
      </w:r>
      <w:r w:rsidR="00954C86">
        <w:rPr>
          <w:rFonts w:ascii="Arial" w:hAnsi="Arial" w:cs="Arial"/>
          <w:color w:val="000000"/>
        </w:rPr>
        <w:br/>
      </w:r>
      <w:r w:rsidR="00954C86">
        <w:rPr>
          <w:rFonts w:ascii="Arial" w:hAnsi="Arial" w:cs="Arial"/>
          <w:color w:val="000000"/>
        </w:rPr>
        <w:br/>
      </w:r>
      <w:r>
        <w:rPr>
          <w:rFonts w:ascii="Arial" w:hAnsi="Arial" w:cs="Arial"/>
          <w:color w:val="000000"/>
        </w:rPr>
        <w:t>Felsic igneous rocks are light in color and are mostly made up of feldspars and silicates. Common minerals found in felsic rock include quartz, plagioclase</w:t>
      </w:r>
      <w:r w:rsidR="00845F4D">
        <w:rPr>
          <w:rFonts w:ascii="Arial" w:hAnsi="Arial" w:cs="Arial"/>
          <w:color w:val="000000"/>
        </w:rPr>
        <w:t>,</w:t>
      </w:r>
      <w:r>
        <w:rPr>
          <w:rFonts w:ascii="Arial" w:hAnsi="Arial" w:cs="Arial"/>
          <w:color w:val="000000"/>
        </w:rPr>
        <w:t xml:space="preserve"> feldspar, potassium feldspar (orthoclase), and muscovite. They may contain up to 15% mafic mineral crystals and have a low density.</w:t>
      </w:r>
      <w:r w:rsidR="00954C86">
        <w:rPr>
          <w:rFonts w:ascii="Arial" w:hAnsi="Arial" w:cs="Arial"/>
          <w:color w:val="000000"/>
        </w:rPr>
        <w:br/>
      </w:r>
      <w:r w:rsidR="00954C86">
        <w:rPr>
          <w:rFonts w:ascii="Arial" w:hAnsi="Arial" w:cs="Arial"/>
          <w:color w:val="000000"/>
        </w:rPr>
        <w:br/>
      </w:r>
      <w:r>
        <w:rPr>
          <w:rFonts w:ascii="Arial" w:hAnsi="Arial" w:cs="Arial"/>
          <w:color w:val="000000"/>
        </w:rPr>
        <w:t>Mafic igneous rocks are dark colored and consist mainly of magnesium and iron. Common minerals found in mafic rocks include olivine, pyroxene, amphibole, and biotite. They contain about 46-85% mafic mineral crystals and have a high density.</w:t>
      </w:r>
      <w:r w:rsidR="00954C86">
        <w:rPr>
          <w:rFonts w:ascii="Arial" w:hAnsi="Arial" w:cs="Arial"/>
          <w:color w:val="000000"/>
        </w:rPr>
        <w:t xml:space="preserve"> </w:t>
      </w:r>
      <w:r>
        <w:rPr>
          <w:rFonts w:ascii="Arial" w:hAnsi="Arial" w:cs="Arial"/>
          <w:color w:val="000000"/>
        </w:rPr>
        <w:t>Ultramafic igneous rocks are very dark colored and contain higher amounts of the same common minerals as mafic rocks, about 86-100% mafic mineral crystals.</w:t>
      </w:r>
      <w:r w:rsidR="00954C86">
        <w:rPr>
          <w:rFonts w:ascii="Arial" w:hAnsi="Arial" w:cs="Arial"/>
          <w:color w:val="000000"/>
        </w:rPr>
        <w:br/>
      </w:r>
      <w:r w:rsidR="00954C86">
        <w:rPr>
          <w:rFonts w:ascii="Arial" w:hAnsi="Arial" w:cs="Arial"/>
          <w:color w:val="000000"/>
        </w:rPr>
        <w:br/>
      </w:r>
      <w:r>
        <w:rPr>
          <w:rFonts w:ascii="Arial" w:hAnsi="Arial" w:cs="Arial"/>
          <w:color w:val="000000"/>
        </w:rPr>
        <w:t>Intermediate igneous rocks are between light and dark colored. They share minerals with both felsic and mafic rocks. They contain 15 to 45% mafic minerals.</w:t>
      </w:r>
      <w:r w:rsidR="00954C86">
        <w:rPr>
          <w:rFonts w:ascii="Arial" w:hAnsi="Arial" w:cs="Arial"/>
          <w:color w:val="000000"/>
        </w:rPr>
        <w:br/>
      </w:r>
      <w:r w:rsidR="00954C86">
        <w:rPr>
          <w:rFonts w:ascii="Arial" w:hAnsi="Arial" w:cs="Arial"/>
          <w:color w:val="000000"/>
        </w:rPr>
        <w:br/>
      </w:r>
      <w:r>
        <w:rPr>
          <w:rFonts w:ascii="Arial" w:hAnsi="Arial" w:cs="Arial"/>
          <w:color w:val="000000"/>
        </w:rPr>
        <w:t xml:space="preserve">Plutonic and volcanic rocks generally have very low porosity and permeability. Natural fractures may enhance porosity by allowing solution of feldspar grains. </w:t>
      </w:r>
      <w:r w:rsidR="004F5C30">
        <w:rPr>
          <w:rFonts w:ascii="Arial" w:hAnsi="Arial" w:cs="Arial"/>
          <w:color w:val="000000"/>
        </w:rPr>
        <w:br/>
      </w:r>
      <w:r w:rsidR="004F5C30">
        <w:rPr>
          <w:rFonts w:ascii="Arial" w:hAnsi="Arial" w:cs="Arial"/>
          <w:color w:val="000000"/>
        </w:rPr>
        <w:br/>
      </w:r>
      <w:r>
        <w:rPr>
          <w:rFonts w:ascii="Arial" w:hAnsi="Arial" w:cs="Arial"/>
          <w:color w:val="000000"/>
        </w:rPr>
        <w:t>Tuffs and tuffaceous rocks have high total porosity because of vugs or vesicles in a glassy matrix. This is most common in pyroclastic deposits. Interparticle porosity may also exist. Some effort has to be made to separate ineffective microporosity from the total porosity. Pumice (a form of tuff) has enough ineffective porosity to allow the rock to float</w:t>
      </w:r>
      <w:r w:rsidR="00845F4D">
        <w:rPr>
          <w:rFonts w:ascii="Arial" w:hAnsi="Arial" w:cs="Arial"/>
          <w:color w:val="000000"/>
        </w:rPr>
        <w:t xml:space="preserve"> on water</w:t>
      </w:r>
      <w:r>
        <w:rPr>
          <w:rFonts w:ascii="Arial" w:hAnsi="Arial" w:cs="Arial"/>
          <w:color w:val="000000"/>
        </w:rPr>
        <w:t>! When other minerals fill the vesicles by precipitation, the tuff is called a zeolite. </w:t>
      </w:r>
      <w:r w:rsidR="00954C86">
        <w:rPr>
          <w:rFonts w:ascii="Arial" w:hAnsi="Arial" w:cs="Arial"/>
          <w:color w:val="000000"/>
        </w:rPr>
        <w:br/>
      </w:r>
    </w:p>
    <w:tbl>
      <w:tblPr>
        <w:tblW w:w="4900" w:type="pct"/>
        <w:tblCellSpacing w:w="0" w:type="dxa"/>
        <w:shd w:val="clear" w:color="auto" w:fill="00FFFF"/>
        <w:tblCellMar>
          <w:left w:w="0" w:type="dxa"/>
          <w:right w:w="0" w:type="dxa"/>
        </w:tblCellMar>
        <w:tblLook w:val="04A0" w:firstRow="1" w:lastRow="0" w:firstColumn="1" w:lastColumn="0" w:noHBand="0" w:noVBand="1"/>
      </w:tblPr>
      <w:tblGrid>
        <w:gridCol w:w="9173"/>
      </w:tblGrid>
      <w:tr w:rsidR="00AE413C" w:rsidTr="00AE413C">
        <w:trPr>
          <w:tblCellSpacing w:w="0" w:type="dxa"/>
        </w:trPr>
        <w:tc>
          <w:tcPr>
            <w:tcW w:w="0" w:type="auto"/>
            <w:shd w:val="clear" w:color="auto" w:fill="FFCC33"/>
            <w:vAlign w:val="center"/>
            <w:hideMark/>
          </w:tcPr>
          <w:tbl>
            <w:tblPr>
              <w:tblW w:w="5000" w:type="pct"/>
              <w:jc w:val="center"/>
              <w:tblCellSpacing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CellMar>
                <w:top w:w="15" w:type="dxa"/>
                <w:left w:w="60" w:type="dxa"/>
                <w:bottom w:w="15" w:type="dxa"/>
                <w:right w:w="60" w:type="dxa"/>
              </w:tblCellMar>
              <w:tblLook w:val="04A0" w:firstRow="1" w:lastRow="0" w:firstColumn="1" w:lastColumn="0" w:noHBand="0" w:noVBand="1"/>
            </w:tblPr>
            <w:tblGrid>
              <w:gridCol w:w="2251"/>
              <w:gridCol w:w="1902"/>
              <w:gridCol w:w="1654"/>
              <w:gridCol w:w="1722"/>
              <w:gridCol w:w="1614"/>
            </w:tblGrid>
            <w:tr w:rsidR="000F38AE" w:rsidRPr="000F38AE" w:rsidTr="000F38AE">
              <w:trPr>
                <w:tblCellSpacing w:w="15" w:type="dxa"/>
                <w:jc w:val="center"/>
              </w:trPr>
              <w:tc>
                <w:tcPr>
                  <w:tcW w:w="0" w:type="auto"/>
                  <w:gridSpan w:val="5"/>
                  <w:shd w:val="clear" w:color="auto" w:fill="FFFFFF" w:themeFill="background1"/>
                  <w:vAlign w:val="center"/>
                  <w:hideMark/>
                </w:tcPr>
                <w:p w:rsidR="00AE413C" w:rsidRPr="000F38AE" w:rsidRDefault="00AE413C" w:rsidP="00C669BB">
                  <w:pPr>
                    <w:spacing w:after="0"/>
                    <w:jc w:val="center"/>
                    <w:rPr>
                      <w:sz w:val="24"/>
                      <w:szCs w:val="24"/>
                    </w:rPr>
                  </w:pPr>
                  <w:r w:rsidRPr="000F38AE">
                    <w:rPr>
                      <w:rFonts w:ascii="Arial" w:hAnsi="Arial" w:cs="Arial"/>
                      <w:b/>
                      <w:bCs/>
                    </w:rPr>
                    <w:t>IGNEOUS ROCK CLASSIFICATION</w:t>
                  </w:r>
                </w:p>
              </w:tc>
            </w:tr>
            <w:tr w:rsidR="000F38AE" w:rsidRPr="000F38AE" w:rsidTr="000F38AE">
              <w:trPr>
                <w:tblCellSpacing w:w="15" w:type="dxa"/>
                <w:jc w:val="center"/>
              </w:trPr>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Plutonic</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Volcanic</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Pyroclastic</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Gamma Ray</w:t>
                  </w:r>
                </w:p>
              </w:tc>
            </w:tr>
            <w:tr w:rsidR="000F38AE" w:rsidRPr="000F38AE" w:rsidTr="000F38AE">
              <w:trPr>
                <w:tblCellSpacing w:w="15" w:type="dxa"/>
                <w:jc w:val="center"/>
              </w:trPr>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Coarse Crystalline</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Fine Crystalline</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Glassy</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Silica Content</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Density</w:t>
                  </w:r>
                </w:p>
              </w:tc>
            </w:tr>
            <w:tr w:rsidR="000F38AE" w:rsidRPr="000F38AE" w:rsidTr="000F38AE">
              <w:trPr>
                <w:tblCellSpacing w:w="15" w:type="dxa"/>
                <w:jc w:val="center"/>
              </w:trPr>
              <w:tc>
                <w:tcPr>
                  <w:tcW w:w="0" w:type="auto"/>
                  <w:shd w:val="clear" w:color="auto" w:fill="FFFFFF" w:themeFill="background1"/>
                  <w:vAlign w:val="center"/>
                  <w:hideMark/>
                </w:tcPr>
                <w:p w:rsidR="00AE413C" w:rsidRPr="000F38AE" w:rsidRDefault="00AE413C" w:rsidP="00C669BB">
                  <w:pPr>
                    <w:pStyle w:val="NormalWeb"/>
                    <w:spacing w:before="0" w:beforeAutospacing="0" w:after="0" w:afterAutospacing="0"/>
                    <w:jc w:val="center"/>
                  </w:pPr>
                  <w:r w:rsidRPr="000F38AE">
                    <w:rPr>
                      <w:rFonts w:ascii="Arial" w:hAnsi="Arial" w:cs="Arial"/>
                    </w:rPr>
                    <w:t>Quartzite</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Highest</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Lowest</w:t>
                  </w:r>
                </w:p>
              </w:tc>
            </w:tr>
            <w:tr w:rsidR="000F38AE" w:rsidRPr="000F38AE" w:rsidTr="000F38AE">
              <w:trPr>
                <w:tblCellSpacing w:w="15" w:type="dxa"/>
                <w:jc w:val="center"/>
              </w:trPr>
              <w:tc>
                <w:tcPr>
                  <w:tcW w:w="0" w:type="auto"/>
                  <w:shd w:val="clear" w:color="auto" w:fill="FFFFFF" w:themeFill="background1"/>
                  <w:vAlign w:val="center"/>
                  <w:hideMark/>
                </w:tcPr>
                <w:p w:rsidR="00AE413C" w:rsidRPr="000F38AE" w:rsidRDefault="00AE413C" w:rsidP="00C669BB">
                  <w:pPr>
                    <w:pStyle w:val="NormalWeb"/>
                    <w:spacing w:before="0" w:beforeAutospacing="0" w:after="0" w:afterAutospacing="0"/>
                    <w:jc w:val="center"/>
                  </w:pPr>
                  <w:r w:rsidRPr="000F38AE">
                    <w:rPr>
                      <w:rFonts w:ascii="Arial" w:hAnsi="Arial" w:cs="Arial"/>
                    </w:rPr>
                    <w:t>Granite</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Rhyolite</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Rhyolite Tuff</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r>
            <w:tr w:rsidR="000F38AE" w:rsidRPr="000F38AE" w:rsidTr="000F38AE">
              <w:trPr>
                <w:tblCellSpacing w:w="15" w:type="dxa"/>
                <w:jc w:val="center"/>
              </w:trPr>
              <w:tc>
                <w:tcPr>
                  <w:tcW w:w="0" w:type="auto"/>
                  <w:shd w:val="clear" w:color="auto" w:fill="FFFFFF" w:themeFill="background1"/>
                  <w:vAlign w:val="center"/>
                  <w:hideMark/>
                </w:tcPr>
                <w:p w:rsidR="00AE413C" w:rsidRPr="000F38AE" w:rsidRDefault="00B7194C" w:rsidP="00C669BB">
                  <w:pPr>
                    <w:pStyle w:val="NormalWeb"/>
                    <w:spacing w:before="0" w:beforeAutospacing="0" w:after="0" w:afterAutospacing="0"/>
                    <w:jc w:val="center"/>
                  </w:pPr>
                  <w:r w:rsidRPr="000F38AE">
                    <w:rPr>
                      <w:rFonts w:ascii="Arial" w:hAnsi="Arial" w:cs="Arial"/>
                    </w:rPr>
                    <w:t>Granodiorite</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Dacite</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Dacite Tuff</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r>
            <w:tr w:rsidR="000F38AE" w:rsidRPr="000F38AE" w:rsidTr="000F38AE">
              <w:trPr>
                <w:tblCellSpacing w:w="15" w:type="dxa"/>
                <w:jc w:val="center"/>
              </w:trPr>
              <w:tc>
                <w:tcPr>
                  <w:tcW w:w="0" w:type="auto"/>
                  <w:shd w:val="clear" w:color="auto" w:fill="FFFFFF" w:themeFill="background1"/>
                  <w:vAlign w:val="center"/>
                  <w:hideMark/>
                </w:tcPr>
                <w:p w:rsidR="00AE413C" w:rsidRPr="000F38AE" w:rsidRDefault="00B7194C" w:rsidP="00C669BB">
                  <w:pPr>
                    <w:pStyle w:val="NormalWeb"/>
                    <w:spacing w:before="0" w:beforeAutospacing="0" w:after="0" w:afterAutospacing="0"/>
                    <w:jc w:val="center"/>
                  </w:pPr>
                  <w:r w:rsidRPr="000F38AE">
                    <w:rPr>
                      <w:rFonts w:ascii="Arial" w:hAnsi="Arial" w:cs="Arial"/>
                    </w:rPr>
                    <w:t xml:space="preserve">Quartz </w:t>
                  </w:r>
                  <w:r>
                    <w:rPr>
                      <w:rFonts w:ascii="Arial" w:hAnsi="Arial" w:cs="Arial"/>
                    </w:rPr>
                    <w:t>D</w:t>
                  </w:r>
                  <w:r w:rsidRPr="000F38AE">
                    <w:rPr>
                      <w:rFonts w:ascii="Arial" w:hAnsi="Arial" w:cs="Arial"/>
                    </w:rPr>
                    <w:t>iorite</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Andesite</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Andesite Tuff</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r>
            <w:tr w:rsidR="000F38AE" w:rsidRPr="000F38AE" w:rsidTr="000F38AE">
              <w:trPr>
                <w:tblCellSpacing w:w="15" w:type="dxa"/>
                <w:jc w:val="center"/>
              </w:trPr>
              <w:tc>
                <w:tcPr>
                  <w:tcW w:w="0" w:type="auto"/>
                  <w:shd w:val="clear" w:color="auto" w:fill="FFFFFF" w:themeFill="background1"/>
                  <w:vAlign w:val="center"/>
                  <w:hideMark/>
                </w:tcPr>
                <w:p w:rsidR="00AE413C" w:rsidRPr="000F38AE" w:rsidRDefault="00AE413C" w:rsidP="00C669BB">
                  <w:pPr>
                    <w:pStyle w:val="NormalWeb"/>
                    <w:spacing w:before="0" w:beforeAutospacing="0" w:after="0" w:afterAutospacing="0"/>
                    <w:jc w:val="center"/>
                  </w:pPr>
                  <w:r w:rsidRPr="000F38AE">
                    <w:rPr>
                      <w:rFonts w:ascii="Arial" w:hAnsi="Arial" w:cs="Arial"/>
                    </w:rPr>
                    <w:t>Diorite</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Basalt</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Zeolite Tuff</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r>
            <w:tr w:rsidR="000F38AE" w:rsidRPr="000F38AE" w:rsidTr="000F38AE">
              <w:trPr>
                <w:tblCellSpacing w:w="15" w:type="dxa"/>
                <w:jc w:val="center"/>
              </w:trPr>
              <w:tc>
                <w:tcPr>
                  <w:tcW w:w="0" w:type="auto"/>
                  <w:shd w:val="clear" w:color="auto" w:fill="FFFFFF" w:themeFill="background1"/>
                  <w:vAlign w:val="center"/>
                  <w:hideMark/>
                </w:tcPr>
                <w:p w:rsidR="00AE413C" w:rsidRPr="000F38AE" w:rsidRDefault="00AE413C" w:rsidP="00C669BB">
                  <w:pPr>
                    <w:pStyle w:val="NormalWeb"/>
                    <w:spacing w:before="0" w:beforeAutospacing="0" w:after="0" w:afterAutospacing="0"/>
                    <w:jc w:val="center"/>
                  </w:pPr>
                  <w:r w:rsidRPr="000F38AE">
                    <w:rPr>
                      <w:rFonts w:ascii="Arial" w:hAnsi="Arial" w:cs="Arial"/>
                    </w:rPr>
                    <w:t>Gabbro</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Dolerite</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r>
            <w:tr w:rsidR="000F38AE" w:rsidRPr="000F38AE" w:rsidTr="000F38AE">
              <w:trPr>
                <w:tblCellSpacing w:w="15" w:type="dxa"/>
                <w:jc w:val="center"/>
              </w:trPr>
              <w:tc>
                <w:tcPr>
                  <w:tcW w:w="0" w:type="auto"/>
                  <w:shd w:val="clear" w:color="auto" w:fill="FFFFFF" w:themeFill="background1"/>
                  <w:vAlign w:val="center"/>
                  <w:hideMark/>
                </w:tcPr>
                <w:p w:rsidR="00AE413C" w:rsidRPr="000F38AE" w:rsidRDefault="00B7194C" w:rsidP="00C669BB">
                  <w:pPr>
                    <w:pStyle w:val="NormalWeb"/>
                    <w:spacing w:before="0" w:beforeAutospacing="0" w:after="0" w:afterAutospacing="0"/>
                    <w:jc w:val="center"/>
                  </w:pPr>
                  <w:r w:rsidRPr="000F38AE">
                    <w:rPr>
                      <w:rFonts w:ascii="Arial" w:hAnsi="Arial" w:cs="Arial"/>
                    </w:rPr>
                    <w:lastRenderedPageBreak/>
                    <w:t>Diabase</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r>
            <w:tr w:rsidR="000F38AE" w:rsidRPr="000F38AE" w:rsidTr="000F38AE">
              <w:trPr>
                <w:tblCellSpacing w:w="15" w:type="dxa"/>
                <w:jc w:val="center"/>
              </w:trPr>
              <w:tc>
                <w:tcPr>
                  <w:tcW w:w="0" w:type="auto"/>
                  <w:shd w:val="clear" w:color="auto" w:fill="FFFFFF" w:themeFill="background1"/>
                  <w:vAlign w:val="center"/>
                  <w:hideMark/>
                </w:tcPr>
                <w:p w:rsidR="00AE413C" w:rsidRPr="000F38AE" w:rsidRDefault="00AE413C" w:rsidP="00C669BB">
                  <w:pPr>
                    <w:pStyle w:val="NormalWeb"/>
                    <w:spacing w:before="0" w:beforeAutospacing="0" w:after="0" w:afterAutospacing="0"/>
                    <w:jc w:val="center"/>
                  </w:pPr>
                  <w:r w:rsidRPr="000F38AE">
                    <w:rPr>
                      <w:rFonts w:ascii="Arial" w:hAnsi="Arial" w:cs="Arial"/>
                    </w:rPr>
                    <w:t>Dunite</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c>
                <w:tcPr>
                  <w:tcW w:w="0" w:type="auto"/>
                  <w:shd w:val="clear" w:color="auto" w:fill="FFFFFF" w:themeFill="background1"/>
                  <w:vAlign w:val="center"/>
                  <w:hideMark/>
                </w:tcPr>
                <w:p w:rsidR="00AE413C" w:rsidRPr="000F38AE" w:rsidRDefault="00AE413C" w:rsidP="00C669BB">
                  <w:pPr>
                    <w:spacing w:after="0"/>
                    <w:jc w:val="center"/>
                    <w:rPr>
                      <w:sz w:val="24"/>
                      <w:szCs w:val="24"/>
                    </w:rPr>
                  </w:pPr>
                  <w:r w:rsidRPr="000F38AE">
                    <w:t> </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Lowest</w:t>
                  </w:r>
                </w:p>
              </w:tc>
              <w:tc>
                <w:tcPr>
                  <w:tcW w:w="0" w:type="auto"/>
                  <w:shd w:val="clear" w:color="auto" w:fill="FFFFFF" w:themeFill="background1"/>
                  <w:vAlign w:val="center"/>
                  <w:hideMark/>
                </w:tcPr>
                <w:p w:rsidR="00AE413C" w:rsidRPr="000F38AE" w:rsidRDefault="00AE413C" w:rsidP="00C669BB">
                  <w:pPr>
                    <w:pStyle w:val="NormalWeb"/>
                    <w:jc w:val="center"/>
                  </w:pPr>
                  <w:r w:rsidRPr="000F38AE">
                    <w:rPr>
                      <w:rFonts w:ascii="Arial" w:hAnsi="Arial" w:cs="Arial"/>
                    </w:rPr>
                    <w:t>Highest</w:t>
                  </w:r>
                </w:p>
              </w:tc>
            </w:tr>
          </w:tbl>
          <w:p w:rsidR="00AE413C" w:rsidRDefault="00AE413C" w:rsidP="00C669BB">
            <w:pPr>
              <w:spacing w:after="0"/>
              <w:jc w:val="center"/>
              <w:rPr>
                <w:color w:val="000000"/>
                <w:sz w:val="24"/>
                <w:szCs w:val="24"/>
              </w:rPr>
            </w:pPr>
          </w:p>
        </w:tc>
      </w:tr>
    </w:tbl>
    <w:p w:rsidR="00AE413C" w:rsidRDefault="00AE413C" w:rsidP="00C669BB">
      <w:pPr>
        <w:pStyle w:val="NormalWeb"/>
        <w:rPr>
          <w:color w:val="000000"/>
        </w:rPr>
      </w:pPr>
      <w:r>
        <w:rPr>
          <w:rFonts w:ascii="Arial" w:hAnsi="Arial" w:cs="Arial"/>
          <w:color w:val="000000"/>
        </w:rPr>
        <w:lastRenderedPageBreak/>
        <w:t>For quick-look identification of igneous rocks, crossplots have been widely used for many years. Before the advent of the PE curve, crossplots using neutron, sonic and density were the best bet. Some prior calculations are required. Matrix density (DENSma), sonic matrix travel time (DTCma), lithology factors Mlith and Nlith must be derived. With the PE curve, a lithology factor called Plith can be added, as well as Uma, the matrix capture cross section. Examples are shown below.</w:t>
      </w:r>
    </w:p>
    <w:p w:rsidR="00AE413C" w:rsidRDefault="00AE413C" w:rsidP="00C669BB">
      <w:pPr>
        <w:pStyle w:val="NormalWeb"/>
        <w:jc w:val="center"/>
        <w:rPr>
          <w:color w:val="000000"/>
        </w:rPr>
      </w:pPr>
      <w:r>
        <w:rPr>
          <w:noProof/>
          <w:color w:val="000000"/>
        </w:rPr>
        <w:drawing>
          <wp:inline distT="0" distB="0" distL="0" distR="0" wp14:anchorId="043AB1FB" wp14:editId="5ACA8C20">
            <wp:extent cx="5062855" cy="4808855"/>
            <wp:effectExtent l="0" t="0" r="4445" b="0"/>
            <wp:docPr id="15" name="Picture 15" descr="C:\spec2000.net\text109fp\Ig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pec2000.net\text109fp\Ign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2855" cy="4808855"/>
                    </a:xfrm>
                    <a:prstGeom prst="rect">
                      <a:avLst/>
                    </a:prstGeom>
                    <a:noFill/>
                    <a:ln>
                      <a:noFill/>
                    </a:ln>
                  </pic:spPr>
                </pic:pic>
              </a:graphicData>
            </a:graphic>
          </wp:inline>
        </w:drawing>
      </w:r>
      <w:r>
        <w:rPr>
          <w:color w:val="000000"/>
        </w:rPr>
        <w:br/>
      </w:r>
      <w:r w:rsidR="00DA50FB">
        <w:rPr>
          <w:rStyle w:val="Emphasis"/>
          <w:rFonts w:ascii="Arial" w:hAnsi="Arial" w:cs="Arial"/>
          <w:color w:val="000000"/>
        </w:rPr>
        <w:t xml:space="preserve">FIGURE 1: </w:t>
      </w:r>
      <w:r>
        <w:rPr>
          <w:rStyle w:val="Emphasis"/>
          <w:rFonts w:ascii="Arial" w:hAnsi="Arial" w:cs="Arial"/>
          <w:color w:val="000000"/>
        </w:rPr>
        <w:t xml:space="preserve">DENSma vs DTCma Crossplot </w:t>
      </w:r>
    </w:p>
    <w:p w:rsidR="00AE413C" w:rsidRDefault="00AE413C" w:rsidP="00C669BB">
      <w:pPr>
        <w:pStyle w:val="NormalWeb"/>
        <w:jc w:val="center"/>
        <w:rPr>
          <w:color w:val="000000"/>
        </w:rPr>
      </w:pPr>
      <w:r>
        <w:rPr>
          <w:noProof/>
          <w:color w:val="000000"/>
        </w:rPr>
        <w:lastRenderedPageBreak/>
        <w:drawing>
          <wp:inline distT="0" distB="0" distL="0" distR="0" wp14:anchorId="276E8C55" wp14:editId="570A5126">
            <wp:extent cx="4986655" cy="5443855"/>
            <wp:effectExtent l="0" t="0" r="4445" b="4445"/>
            <wp:docPr id="14" name="Picture 14" descr="C:\spec2000.net\text109fp\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pec2000.net\text109fp\Ign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6655" cy="5443855"/>
                    </a:xfrm>
                    <a:prstGeom prst="rect">
                      <a:avLst/>
                    </a:prstGeom>
                    <a:noFill/>
                    <a:ln>
                      <a:noFill/>
                    </a:ln>
                  </pic:spPr>
                </pic:pic>
              </a:graphicData>
            </a:graphic>
          </wp:inline>
        </w:drawing>
      </w:r>
      <w:r>
        <w:rPr>
          <w:rFonts w:ascii="Arial" w:hAnsi="Arial" w:cs="Arial"/>
          <w:i/>
          <w:iCs/>
          <w:color w:val="000000"/>
        </w:rPr>
        <w:br/>
      </w:r>
      <w:r w:rsidR="00DA50FB">
        <w:rPr>
          <w:rStyle w:val="Emphasis"/>
          <w:rFonts w:ascii="Arial" w:hAnsi="Arial" w:cs="Arial"/>
          <w:color w:val="000000"/>
        </w:rPr>
        <w:t xml:space="preserve">FIGURE 2: </w:t>
      </w:r>
      <w:r>
        <w:rPr>
          <w:rStyle w:val="Emphasis"/>
          <w:rFonts w:ascii="Arial" w:hAnsi="Arial" w:cs="Arial"/>
          <w:color w:val="000000"/>
        </w:rPr>
        <w:t>Mlith vs Nlith Crossplot</w:t>
      </w:r>
    </w:p>
    <w:p w:rsidR="00AE413C" w:rsidRPr="009B2A9E" w:rsidRDefault="00AE413C" w:rsidP="005E64C9">
      <w:pPr>
        <w:spacing w:after="0"/>
        <w:rPr>
          <w:rFonts w:ascii="Arial" w:hAnsi="Arial" w:cs="Arial"/>
          <w:color w:val="000000"/>
        </w:rPr>
      </w:pPr>
      <w:bookmarkStart w:id="5" w:name="b7"/>
      <w:bookmarkEnd w:id="5"/>
      <w:r w:rsidRPr="00B7194C">
        <w:rPr>
          <w:rFonts w:ascii="Arial" w:hAnsi="Arial" w:cs="Arial"/>
          <w:b/>
          <w:bCs/>
          <w:caps/>
        </w:rPr>
        <w:t>Igneous MINERAL properties</w:t>
      </w:r>
      <w:r w:rsidR="00564D1C" w:rsidRPr="00B7194C">
        <w:rPr>
          <w:rFonts w:ascii="Arial" w:hAnsi="Arial" w:cs="Arial"/>
          <w:b/>
          <w:bCs/>
          <w:caps/>
        </w:rPr>
        <w:t xml:space="preserve"> </w:t>
      </w:r>
      <w:r w:rsidRPr="00184F3B">
        <w:rPr>
          <w:rFonts w:ascii="Arial" w:hAnsi="Arial" w:cs="Arial"/>
          <w:b/>
          <w:bCs/>
          <w:caps/>
          <w:color w:val="FF0000"/>
        </w:rPr>
        <w:br/>
      </w:r>
      <w:r w:rsidR="009B2A9E">
        <w:rPr>
          <w:rFonts w:ascii="Arial" w:hAnsi="Arial" w:cs="Arial"/>
          <w:color w:val="000000"/>
        </w:rPr>
        <w:t>Most igneou</w:t>
      </w:r>
      <w:r w:rsidR="00BC29D8">
        <w:rPr>
          <w:rFonts w:ascii="Arial" w:hAnsi="Arial" w:cs="Arial"/>
          <w:color w:val="000000"/>
        </w:rPr>
        <w:t>s rocks are described by their r</w:t>
      </w:r>
      <w:r w:rsidR="009B2A9E">
        <w:rPr>
          <w:rFonts w:ascii="Arial" w:hAnsi="Arial" w:cs="Arial"/>
          <w:color w:val="000000"/>
        </w:rPr>
        <w:t>ock-type and not by their mineral composition. For example, granite is a rock-type composed of the minerals quartz, feldspar, and p</w:t>
      </w:r>
      <w:r w:rsidR="00CC6FA3">
        <w:rPr>
          <w:rFonts w:ascii="Arial" w:hAnsi="Arial" w:cs="Arial"/>
          <w:color w:val="000000"/>
        </w:rPr>
        <w:t>lagioclase</w:t>
      </w:r>
      <w:r w:rsidR="00140C6E">
        <w:rPr>
          <w:rFonts w:ascii="Arial" w:hAnsi="Arial" w:cs="Arial"/>
          <w:color w:val="000000"/>
        </w:rPr>
        <w:t>.</w:t>
      </w:r>
      <w:r w:rsidR="009B2A9E">
        <w:rPr>
          <w:rFonts w:ascii="Arial" w:hAnsi="Arial" w:cs="Arial"/>
          <w:color w:val="000000"/>
        </w:rPr>
        <w:t xml:space="preserve"> Logs respond to the mineral </w:t>
      </w:r>
      <w:r w:rsidR="00BC29D8">
        <w:rPr>
          <w:rFonts w:ascii="Arial" w:hAnsi="Arial" w:cs="Arial"/>
          <w:color w:val="000000"/>
        </w:rPr>
        <w:t>mixture</w:t>
      </w:r>
      <w:r w:rsidR="009B2A9E">
        <w:rPr>
          <w:rFonts w:ascii="Arial" w:hAnsi="Arial" w:cs="Arial"/>
          <w:color w:val="000000"/>
        </w:rPr>
        <w:t xml:space="preserve">, not the rock-type. </w:t>
      </w:r>
      <w:r w:rsidR="008005CC">
        <w:rPr>
          <w:rFonts w:ascii="Arial" w:hAnsi="Arial" w:cs="Arial"/>
          <w:color w:val="000000"/>
        </w:rPr>
        <w:t xml:space="preserve">Once the mineral fractions are derived by a suitable log analysis </w:t>
      </w:r>
      <w:r w:rsidR="00BC29D8">
        <w:rPr>
          <w:rFonts w:ascii="Arial" w:hAnsi="Arial" w:cs="Arial"/>
          <w:color w:val="000000"/>
        </w:rPr>
        <w:t>model</w:t>
      </w:r>
      <w:r w:rsidR="008005CC">
        <w:rPr>
          <w:rFonts w:ascii="Arial" w:hAnsi="Arial" w:cs="Arial"/>
          <w:color w:val="000000"/>
        </w:rPr>
        <w:t>, a second step is needed to convert the minerals to rock-types.</w:t>
      </w:r>
      <w:r w:rsidR="009B2A9E">
        <w:rPr>
          <w:rFonts w:ascii="Arial" w:hAnsi="Arial" w:cs="Arial"/>
          <w:color w:val="000000"/>
        </w:rPr>
        <w:br/>
      </w:r>
      <w:r w:rsidR="009B2A9E">
        <w:rPr>
          <w:rFonts w:ascii="Arial" w:hAnsi="Arial" w:cs="Arial"/>
          <w:color w:val="000000"/>
        </w:rPr>
        <w:br/>
      </w:r>
      <w:r>
        <w:rPr>
          <w:rFonts w:ascii="Arial" w:hAnsi="Arial" w:cs="Arial"/>
          <w:color w:val="000000"/>
        </w:rPr>
        <w:t>Properties for individual minerals are better known and less</w:t>
      </w:r>
      <w:r w:rsidR="00BC29D8">
        <w:rPr>
          <w:rFonts w:ascii="Arial" w:hAnsi="Arial" w:cs="Arial"/>
          <w:color w:val="000000"/>
        </w:rPr>
        <w:t xml:space="preserve"> variable than rock-type values.</w:t>
      </w:r>
      <w:r>
        <w:rPr>
          <w:rFonts w:ascii="Arial" w:hAnsi="Arial" w:cs="Arial"/>
          <w:color w:val="000000"/>
        </w:rPr>
        <w:t xml:space="preserve"> It is more accurate to use a mineral model than a rock-type model. Here are the mineral properties that can be used in the various multi-mineral log analysis models. These are the same values that might be used in a sedimentary rock sequence, sorted to reflect the common constituents of igneous rocks. </w:t>
      </w:r>
      <w:r w:rsidR="005E64C9">
        <w:rPr>
          <w:rFonts w:ascii="Arial" w:hAnsi="Arial" w:cs="Arial"/>
          <w:color w:val="000000"/>
        </w:rPr>
        <w:br/>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24" w:type="dxa"/>
          <w:left w:w="24" w:type="dxa"/>
          <w:bottom w:w="24" w:type="dxa"/>
          <w:right w:w="24" w:type="dxa"/>
        </w:tblCellMar>
        <w:tblLook w:val="04A0" w:firstRow="1" w:lastRow="0" w:firstColumn="1" w:lastColumn="0" w:noHBand="0" w:noVBand="1"/>
      </w:tblPr>
      <w:tblGrid>
        <w:gridCol w:w="2147"/>
        <w:gridCol w:w="1334"/>
        <w:gridCol w:w="1130"/>
        <w:gridCol w:w="1132"/>
        <w:gridCol w:w="875"/>
        <w:gridCol w:w="1011"/>
        <w:gridCol w:w="1011"/>
        <w:gridCol w:w="1026"/>
      </w:tblGrid>
      <w:tr w:rsidR="00AE413C" w:rsidTr="00BC29D8">
        <w:trPr>
          <w:tblCellSpacing w:w="15" w:type="dxa"/>
        </w:trPr>
        <w:tc>
          <w:tcPr>
            <w:tcW w:w="0" w:type="auto"/>
            <w:gridSpan w:val="8"/>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Web"/>
              <w:jc w:val="center"/>
              <w:rPr>
                <w:color w:val="000000"/>
                <w:sz w:val="20"/>
                <w:szCs w:val="20"/>
              </w:rPr>
            </w:pPr>
            <w:r>
              <w:rPr>
                <w:rFonts w:ascii="Arial" w:hAnsi="Arial" w:cs="Arial"/>
                <w:b/>
                <w:bCs/>
                <w:color w:val="FFFFFF"/>
              </w:rPr>
              <w:lastRenderedPageBreak/>
              <w:t>MATRIX PROPERTIES FOR IGNEOUS MINERALS</w:t>
            </w:r>
          </w:p>
        </w:tc>
      </w:tr>
      <w:tr w:rsidR="00AE413C" w:rsidTr="00BC29D8">
        <w:trPr>
          <w:tblCellSpacing w:w="15" w:type="dxa"/>
        </w:trPr>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spacing w:before="0" w:beforeAutospacing="0" w:after="120" w:afterAutospacing="0"/>
              <w:jc w:val="center"/>
              <w:rPr>
                <w:color w:val="000000"/>
                <w:sz w:val="20"/>
                <w:szCs w:val="20"/>
              </w:rPr>
            </w:pPr>
            <w:r>
              <w:rPr>
                <w:rFonts w:ascii="Arial" w:hAnsi="Arial" w:cs="Arial"/>
                <w:i/>
                <w:iCs/>
                <w:color w:val="000000"/>
              </w:rPr>
              <w:t> </w:t>
            </w:r>
          </w:p>
        </w:tc>
        <w:tc>
          <w:tcPr>
            <w:tcW w:w="132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DENSMA</w:t>
            </w:r>
            <w:r>
              <w:rPr>
                <w:rFonts w:ascii="Arial" w:hAnsi="Arial" w:cs="Arial"/>
                <w:color w:val="000000"/>
              </w:rPr>
              <w:br/>
              <w:t>g/cc</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spacing w:before="0" w:beforeAutospacing="0" w:after="120" w:afterAutospacing="0"/>
              <w:jc w:val="center"/>
              <w:rPr>
                <w:color w:val="000000"/>
                <w:sz w:val="20"/>
                <w:szCs w:val="20"/>
              </w:rPr>
            </w:pPr>
            <w:r>
              <w:rPr>
                <w:rFonts w:ascii="Arial" w:hAnsi="Arial" w:cs="Arial"/>
                <w:color w:val="000000"/>
              </w:rPr>
              <w:t>DTCMA</w:t>
            </w:r>
            <w:r>
              <w:rPr>
                <w:rFonts w:ascii="Arial" w:hAnsi="Arial" w:cs="Arial"/>
                <w:color w:val="000000"/>
              </w:rPr>
              <w:br/>
            </w:r>
            <w:r w:rsidR="00B7194C">
              <w:rPr>
                <w:rFonts w:ascii="Symbol" w:hAnsi="Symbol" w:cs="Arial"/>
                <w:color w:val="000000"/>
              </w:rPr>
              <w:t></w:t>
            </w:r>
            <w:r>
              <w:rPr>
                <w:rFonts w:ascii="Arial" w:hAnsi="Arial" w:cs="Arial"/>
                <w:color w:val="000000"/>
              </w:rPr>
              <w:t>sec/ft</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PHINMA</w:t>
            </w:r>
            <w:r>
              <w:rPr>
                <w:rFonts w:ascii="Arial" w:hAnsi="Arial" w:cs="Arial"/>
                <w:color w:val="000000"/>
              </w:rPr>
              <w:br/>
              <w:t>frac</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spacing w:before="0" w:beforeAutospacing="0" w:after="120" w:afterAutospacing="0"/>
              <w:jc w:val="center"/>
              <w:rPr>
                <w:color w:val="000000"/>
                <w:sz w:val="20"/>
                <w:szCs w:val="20"/>
              </w:rPr>
            </w:pPr>
            <w:r>
              <w:rPr>
                <w:rFonts w:ascii="Arial" w:hAnsi="Arial" w:cs="Arial"/>
                <w:color w:val="000000"/>
              </w:rPr>
              <w:t>PE</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spacing w:before="0" w:beforeAutospacing="0" w:after="120" w:afterAutospacing="0"/>
              <w:jc w:val="center"/>
              <w:rPr>
                <w:color w:val="000000"/>
                <w:sz w:val="20"/>
                <w:szCs w:val="20"/>
              </w:rPr>
            </w:pPr>
            <w:r>
              <w:rPr>
                <w:rFonts w:ascii="Arial" w:hAnsi="Arial" w:cs="Arial"/>
                <w:color w:val="000000"/>
              </w:rPr>
              <w:t>Plith</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spacing w:before="0" w:beforeAutospacing="0" w:after="120" w:afterAutospacing="0"/>
              <w:jc w:val="center"/>
              <w:rPr>
                <w:color w:val="000000"/>
                <w:sz w:val="20"/>
                <w:szCs w:val="20"/>
              </w:rPr>
            </w:pPr>
            <w:r>
              <w:rPr>
                <w:rFonts w:ascii="Arial" w:hAnsi="Arial" w:cs="Arial"/>
                <w:color w:val="000000"/>
              </w:rPr>
              <w:t>Mlith</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spacing w:before="0" w:beforeAutospacing="0" w:after="120" w:afterAutospacing="0"/>
              <w:jc w:val="center"/>
              <w:rPr>
                <w:color w:val="000000"/>
                <w:sz w:val="20"/>
                <w:szCs w:val="20"/>
              </w:rPr>
            </w:pPr>
            <w:r>
              <w:rPr>
                <w:rFonts w:ascii="Arial" w:hAnsi="Arial" w:cs="Arial"/>
                <w:color w:val="000000"/>
              </w:rPr>
              <w:t>Nlith</w:t>
            </w:r>
          </w:p>
        </w:tc>
      </w:tr>
      <w:tr w:rsidR="00AE413C" w:rsidTr="00BC29D8">
        <w:trPr>
          <w:tblCellSpacing w:w="15" w:type="dxa"/>
        </w:trPr>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spacing w:before="0" w:beforeAutospacing="0" w:after="0" w:afterAutospacing="0"/>
              <w:rPr>
                <w:color w:val="000000"/>
                <w:sz w:val="20"/>
                <w:szCs w:val="20"/>
              </w:rPr>
            </w:pPr>
            <w:r>
              <w:rPr>
                <w:rFonts w:ascii="Arial" w:hAnsi="Arial" w:cs="Arial"/>
                <w:color w:val="000000"/>
              </w:rPr>
              <w:t>Magnetite</w:t>
            </w:r>
          </w:p>
        </w:tc>
        <w:tc>
          <w:tcPr>
            <w:tcW w:w="132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5.08</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73.0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0.0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22.0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5.3922</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0.2794</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0.2451</w:t>
            </w:r>
          </w:p>
        </w:tc>
      </w:tr>
      <w:tr w:rsidR="00AE413C" w:rsidTr="00BC29D8">
        <w:trPr>
          <w:tblCellSpacing w:w="15" w:type="dxa"/>
        </w:trPr>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B7194C" w:rsidP="00C669BB">
            <w:pPr>
              <w:pStyle w:val="NormalIndent"/>
              <w:spacing w:before="0" w:beforeAutospacing="0" w:after="0" w:afterAutospacing="0"/>
              <w:rPr>
                <w:color w:val="000000"/>
                <w:sz w:val="20"/>
                <w:szCs w:val="20"/>
              </w:rPr>
            </w:pPr>
            <w:r>
              <w:rPr>
                <w:rFonts w:ascii="Arial" w:hAnsi="Arial" w:cs="Arial"/>
                <w:color w:val="000000"/>
              </w:rPr>
              <w:t>Hornblende</w:t>
            </w:r>
          </w:p>
        </w:tc>
        <w:tc>
          <w:tcPr>
            <w:tcW w:w="132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3.20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43.8</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0.0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6.0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2.7273</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0.6509</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0.4545</w:t>
            </w:r>
          </w:p>
        </w:tc>
      </w:tr>
      <w:tr w:rsidR="00AE413C" w:rsidTr="00BC29D8">
        <w:trPr>
          <w:tblCellSpacing w:w="15" w:type="dxa"/>
        </w:trPr>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spacing w:before="0" w:beforeAutospacing="0" w:after="0" w:afterAutospacing="0"/>
              <w:rPr>
                <w:color w:val="000000"/>
                <w:sz w:val="20"/>
                <w:szCs w:val="20"/>
              </w:rPr>
            </w:pPr>
            <w:r>
              <w:rPr>
                <w:rFonts w:ascii="Arial" w:hAnsi="Arial" w:cs="Arial"/>
                <w:color w:val="000000"/>
              </w:rPr>
              <w:t>Quartz</w:t>
            </w:r>
          </w:p>
        </w:tc>
        <w:tc>
          <w:tcPr>
            <w:tcW w:w="132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2.64</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56.0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-0.02</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1.8</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1.0976</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0.7988</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0.6098</w:t>
            </w:r>
          </w:p>
        </w:tc>
      </w:tr>
      <w:tr w:rsidR="00AE413C" w:rsidTr="00BC29D8">
        <w:trPr>
          <w:tblCellSpacing w:w="15" w:type="dxa"/>
        </w:trPr>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spacing w:before="0" w:beforeAutospacing="0" w:after="0" w:afterAutospacing="0"/>
              <w:rPr>
                <w:color w:val="000000"/>
                <w:sz w:val="20"/>
                <w:szCs w:val="20"/>
              </w:rPr>
            </w:pPr>
            <w:r>
              <w:rPr>
                <w:rFonts w:ascii="Arial" w:hAnsi="Arial" w:cs="Arial"/>
                <w:color w:val="000000"/>
              </w:rPr>
              <w:t>K Feldspar</w:t>
            </w:r>
          </w:p>
        </w:tc>
        <w:tc>
          <w:tcPr>
            <w:tcW w:w="132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2.52</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46.0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-0.03</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2.9</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1.9079</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0.9276</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0.6579</w:t>
            </w:r>
          </w:p>
        </w:tc>
      </w:tr>
      <w:tr w:rsidR="00AE413C" w:rsidTr="00BC29D8">
        <w:trPr>
          <w:tblCellSpacing w:w="15" w:type="dxa"/>
        </w:trPr>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spacing w:before="0" w:beforeAutospacing="0" w:after="0" w:afterAutospacing="0"/>
              <w:rPr>
                <w:color w:val="000000"/>
                <w:sz w:val="20"/>
                <w:szCs w:val="20"/>
              </w:rPr>
            </w:pPr>
            <w:r>
              <w:rPr>
                <w:rFonts w:ascii="Arial" w:hAnsi="Arial" w:cs="Arial"/>
                <w:color w:val="000000"/>
              </w:rPr>
              <w:t>Plagioclase</w:t>
            </w:r>
          </w:p>
        </w:tc>
        <w:tc>
          <w:tcPr>
            <w:tcW w:w="132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2.62</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53.0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0.0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3.0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1.8519</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0.8272</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0.6173</w:t>
            </w:r>
          </w:p>
        </w:tc>
      </w:tr>
      <w:tr w:rsidR="00AE413C" w:rsidTr="00BC29D8">
        <w:trPr>
          <w:tblCellSpacing w:w="15" w:type="dxa"/>
        </w:trPr>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spacing w:before="0" w:beforeAutospacing="0" w:after="0" w:afterAutospacing="0"/>
              <w:rPr>
                <w:color w:val="000000"/>
                <w:sz w:val="20"/>
                <w:szCs w:val="20"/>
              </w:rPr>
            </w:pPr>
            <w:r>
              <w:rPr>
                <w:rFonts w:ascii="Arial" w:hAnsi="Arial" w:cs="Arial"/>
                <w:color w:val="000000"/>
              </w:rPr>
              <w:t>Biotite</w:t>
            </w:r>
          </w:p>
        </w:tc>
        <w:tc>
          <w:tcPr>
            <w:tcW w:w="132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3.00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55.0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0.21</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6.3</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3.1500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0.6800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0.4990</w:t>
            </w:r>
          </w:p>
        </w:tc>
      </w:tr>
      <w:tr w:rsidR="00AE413C" w:rsidTr="00BC29D8">
        <w:trPr>
          <w:tblCellSpacing w:w="15" w:type="dxa"/>
        </w:trPr>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spacing w:before="0" w:beforeAutospacing="0" w:after="0" w:afterAutospacing="0"/>
              <w:rPr>
                <w:color w:val="000000"/>
                <w:sz w:val="20"/>
                <w:szCs w:val="20"/>
              </w:rPr>
            </w:pPr>
            <w:r>
              <w:rPr>
                <w:rFonts w:ascii="Arial" w:hAnsi="Arial" w:cs="Arial"/>
                <w:color w:val="000000"/>
              </w:rPr>
              <w:t>Pyrite</w:t>
            </w:r>
          </w:p>
        </w:tc>
        <w:tc>
          <w:tcPr>
            <w:tcW w:w="132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4.99</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39.2</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spacing w:after="0"/>
              <w:jc w:val="center"/>
              <w:rPr>
                <w:color w:val="000000"/>
                <w:sz w:val="20"/>
                <w:szCs w:val="20"/>
              </w:rPr>
            </w:pPr>
            <w:r>
              <w:rPr>
                <w:rFonts w:ascii="Arial" w:hAnsi="Arial" w:cs="Arial"/>
                <w:color w:val="000000"/>
              </w:rPr>
              <w:t>0.06</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17.0</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4.2607</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0.3704</w:t>
            </w:r>
          </w:p>
        </w:tc>
        <w:tc>
          <w:tcPr>
            <w:tcW w:w="86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AE413C" w:rsidRDefault="00AE413C" w:rsidP="00C669BB">
            <w:pPr>
              <w:pStyle w:val="NormalIndent"/>
              <w:jc w:val="center"/>
              <w:rPr>
                <w:color w:val="000000"/>
                <w:sz w:val="20"/>
                <w:szCs w:val="20"/>
              </w:rPr>
            </w:pPr>
            <w:r>
              <w:rPr>
                <w:rFonts w:ascii="Arial" w:hAnsi="Arial" w:cs="Arial"/>
                <w:color w:val="000000"/>
              </w:rPr>
              <w:t>0.2505</w:t>
            </w:r>
          </w:p>
        </w:tc>
      </w:tr>
    </w:tbl>
    <w:p w:rsidR="00AE413C" w:rsidRDefault="00AE413C" w:rsidP="00C669BB">
      <w:pPr>
        <w:pStyle w:val="NormalWeb"/>
        <w:rPr>
          <w:color w:val="000000"/>
        </w:rPr>
      </w:pPr>
      <w:r>
        <w:rPr>
          <w:rFonts w:ascii="Arial" w:hAnsi="Arial" w:cs="Arial"/>
          <w:color w:val="000000"/>
        </w:rPr>
        <w:t>Sometimes a mineral is determined by triggers</w:t>
      </w:r>
      <w:r w:rsidR="00086470">
        <w:rPr>
          <w:rFonts w:ascii="Arial" w:hAnsi="Arial" w:cs="Arial"/>
          <w:color w:val="000000"/>
        </w:rPr>
        <w:t xml:space="preserve"> based on</w:t>
      </w:r>
      <w:r w:rsidR="003B43AB">
        <w:rPr>
          <w:rFonts w:ascii="Arial" w:hAnsi="Arial" w:cs="Arial"/>
          <w:color w:val="000000"/>
        </w:rPr>
        <w:t xml:space="preserve"> their specific log responses</w:t>
      </w:r>
      <w:r>
        <w:rPr>
          <w:rFonts w:ascii="Arial" w:hAnsi="Arial" w:cs="Arial"/>
          <w:color w:val="000000"/>
        </w:rPr>
        <w:t xml:space="preserve">. For example, where basalt beds are interspersed between conventional granite or quartzite, it is easy to use the PE or density logs to trigger </w:t>
      </w:r>
      <w:r w:rsidR="003B43AB">
        <w:rPr>
          <w:rFonts w:ascii="Arial" w:hAnsi="Arial" w:cs="Arial"/>
          <w:color w:val="000000"/>
        </w:rPr>
        <w:t xml:space="preserve">100% </w:t>
      </w:r>
      <w:r>
        <w:rPr>
          <w:rFonts w:ascii="Arial" w:hAnsi="Arial" w:cs="Arial"/>
          <w:color w:val="000000"/>
        </w:rPr>
        <w:t>basalt, leaving the remaining minerals to be defined by a two or three mineral model. </w:t>
      </w:r>
    </w:p>
    <w:p w:rsidR="00677ED8" w:rsidRDefault="00AE413C" w:rsidP="00C669BB">
      <w:pPr>
        <w:pStyle w:val="NormalWeb"/>
        <w:rPr>
          <w:rFonts w:ascii="Arial" w:hAnsi="Arial" w:cs="Arial"/>
          <w:color w:val="000000"/>
        </w:rPr>
      </w:pPr>
      <w:bookmarkStart w:id="6" w:name="b9"/>
      <w:bookmarkEnd w:id="6"/>
      <w:r w:rsidRPr="00B7194C">
        <w:rPr>
          <w:rFonts w:ascii="Arial" w:hAnsi="Arial" w:cs="Arial"/>
          <w:b/>
          <w:bCs/>
          <w:caps/>
        </w:rPr>
        <w:t xml:space="preserve">CONVERTING minerals TO ROCK-TYPES </w:t>
      </w:r>
      <w:r w:rsidRPr="00184F3B">
        <w:rPr>
          <w:rFonts w:ascii="Arial" w:hAnsi="Arial" w:cs="Arial"/>
          <w:b/>
          <w:bCs/>
          <w:caps/>
          <w:color w:val="FF0000"/>
        </w:rPr>
        <w:br/>
      </w:r>
      <w:r w:rsidR="00CE3BD6">
        <w:rPr>
          <w:rFonts w:ascii="Arial" w:hAnsi="Arial" w:cs="Arial"/>
          <w:color w:val="000000"/>
        </w:rPr>
        <w:t>After determining the mineral composition, the rock-type can be estimated from a near-fit to the mineral composition shown in the table below.</w:t>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24" w:type="dxa"/>
          <w:left w:w="24" w:type="dxa"/>
          <w:bottom w:w="24" w:type="dxa"/>
          <w:right w:w="24" w:type="dxa"/>
        </w:tblCellMar>
        <w:tblLook w:val="04A0" w:firstRow="1" w:lastRow="0" w:firstColumn="1" w:lastColumn="0" w:noHBand="0" w:noVBand="1"/>
      </w:tblPr>
      <w:tblGrid>
        <w:gridCol w:w="2235"/>
        <w:gridCol w:w="1350"/>
        <w:gridCol w:w="1637"/>
        <w:gridCol w:w="1572"/>
        <w:gridCol w:w="970"/>
        <w:gridCol w:w="1092"/>
      </w:tblGrid>
      <w:tr w:rsidR="00CE3BD6" w:rsidTr="00BC29D8">
        <w:trPr>
          <w:tblCellSpacing w:w="15" w:type="dxa"/>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Web"/>
              <w:jc w:val="center"/>
              <w:rPr>
                <w:color w:val="000000"/>
                <w:sz w:val="20"/>
                <w:szCs w:val="20"/>
              </w:rPr>
            </w:pPr>
            <w:r>
              <w:rPr>
                <w:rFonts w:ascii="Arial" w:hAnsi="Arial" w:cs="Arial"/>
                <w:b/>
                <w:bCs/>
                <w:color w:val="FFFFFF"/>
              </w:rPr>
              <w:t>CONVERTING MINERALS TO ROCK-TYPES</w:t>
            </w:r>
          </w:p>
        </w:tc>
      </w:tr>
      <w:tr w:rsidR="00CE3BD6" w:rsidTr="00BC29D8">
        <w:trPr>
          <w:tblCellSpacing w:w="15" w:type="dxa"/>
          <w:jc w:val="center"/>
        </w:trPr>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spacing w:before="0" w:beforeAutospacing="0" w:after="120" w:afterAutospacing="0"/>
              <w:jc w:val="center"/>
              <w:rPr>
                <w:color w:val="000000"/>
                <w:sz w:val="20"/>
                <w:szCs w:val="20"/>
              </w:rPr>
            </w:pPr>
            <w:r>
              <w:rPr>
                <w:rFonts w:ascii="Arial" w:hAnsi="Arial" w:cs="Arial"/>
                <w:i/>
                <w:iCs/>
                <w:color w:val="000000"/>
              </w:rPr>
              <w:t> </w:t>
            </w:r>
          </w:p>
        </w:tc>
        <w:tc>
          <w:tcPr>
            <w:tcW w:w="132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Granite</w:t>
            </w:r>
          </w:p>
        </w:tc>
        <w:tc>
          <w:tcPr>
            <w:tcW w:w="160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spacing w:before="0" w:beforeAutospacing="0" w:after="120" w:afterAutospacing="0"/>
              <w:jc w:val="center"/>
              <w:rPr>
                <w:color w:val="000000"/>
                <w:sz w:val="20"/>
                <w:szCs w:val="20"/>
              </w:rPr>
            </w:pPr>
            <w:r>
              <w:rPr>
                <w:rFonts w:ascii="Arial" w:hAnsi="Arial" w:cs="Arial"/>
                <w:color w:val="000000"/>
              </w:rPr>
              <w:t>GranoDiorite</w:t>
            </w:r>
          </w:p>
        </w:tc>
        <w:tc>
          <w:tcPr>
            <w:tcW w:w="154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056E34" w:rsidP="00121B54">
            <w:pPr>
              <w:spacing w:after="0"/>
              <w:jc w:val="center"/>
              <w:rPr>
                <w:color w:val="000000"/>
                <w:sz w:val="20"/>
                <w:szCs w:val="20"/>
              </w:rPr>
            </w:pPr>
            <w:r>
              <w:rPr>
                <w:rFonts w:ascii="Arial" w:hAnsi="Arial" w:cs="Arial"/>
                <w:color w:val="000000"/>
              </w:rPr>
              <w:t>Quartz Diorite</w:t>
            </w:r>
          </w:p>
        </w:tc>
        <w:tc>
          <w:tcPr>
            <w:tcW w:w="94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spacing w:before="0" w:beforeAutospacing="0" w:after="120" w:afterAutospacing="0"/>
              <w:jc w:val="center"/>
              <w:rPr>
                <w:color w:val="000000"/>
                <w:sz w:val="20"/>
                <w:szCs w:val="20"/>
              </w:rPr>
            </w:pPr>
            <w:r>
              <w:rPr>
                <w:rFonts w:ascii="Arial" w:hAnsi="Arial" w:cs="Arial"/>
                <w:color w:val="000000"/>
              </w:rPr>
              <w:t>Diorite</w:t>
            </w:r>
          </w:p>
        </w:tc>
        <w:tc>
          <w:tcPr>
            <w:tcW w:w="104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spacing w:before="0" w:beforeAutospacing="0" w:after="120" w:afterAutospacing="0"/>
              <w:jc w:val="center"/>
              <w:rPr>
                <w:color w:val="000000"/>
                <w:sz w:val="20"/>
                <w:szCs w:val="20"/>
              </w:rPr>
            </w:pPr>
            <w:r>
              <w:rPr>
                <w:rFonts w:ascii="Arial" w:hAnsi="Arial" w:cs="Arial"/>
                <w:color w:val="000000"/>
              </w:rPr>
              <w:t>Gabbro</w:t>
            </w:r>
          </w:p>
        </w:tc>
      </w:tr>
      <w:tr w:rsidR="00CE3BD6" w:rsidTr="00BC29D8">
        <w:trPr>
          <w:tblCellSpacing w:w="15" w:type="dxa"/>
          <w:jc w:val="center"/>
        </w:trPr>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spacing w:before="0" w:beforeAutospacing="0" w:after="0" w:afterAutospacing="0"/>
              <w:rPr>
                <w:color w:val="000000"/>
                <w:sz w:val="20"/>
                <w:szCs w:val="20"/>
              </w:rPr>
            </w:pPr>
            <w:r>
              <w:rPr>
                <w:rFonts w:ascii="Arial" w:hAnsi="Arial" w:cs="Arial"/>
                <w:color w:val="000000"/>
              </w:rPr>
              <w:t>Plagioclase</w:t>
            </w:r>
          </w:p>
        </w:tc>
        <w:tc>
          <w:tcPr>
            <w:tcW w:w="132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0.30</w:t>
            </w:r>
          </w:p>
        </w:tc>
        <w:tc>
          <w:tcPr>
            <w:tcW w:w="160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jc w:val="center"/>
              <w:rPr>
                <w:color w:val="000000"/>
                <w:sz w:val="20"/>
                <w:szCs w:val="20"/>
              </w:rPr>
            </w:pPr>
            <w:r>
              <w:rPr>
                <w:rFonts w:ascii="Arial" w:hAnsi="Arial" w:cs="Arial"/>
                <w:color w:val="000000"/>
              </w:rPr>
              <w:t>0.46</w:t>
            </w:r>
          </w:p>
        </w:tc>
        <w:tc>
          <w:tcPr>
            <w:tcW w:w="154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0.53</w:t>
            </w:r>
          </w:p>
        </w:tc>
        <w:tc>
          <w:tcPr>
            <w:tcW w:w="94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jc w:val="center"/>
              <w:rPr>
                <w:color w:val="000000"/>
                <w:sz w:val="20"/>
                <w:szCs w:val="20"/>
              </w:rPr>
            </w:pPr>
            <w:r>
              <w:rPr>
                <w:rFonts w:ascii="Arial" w:hAnsi="Arial" w:cs="Arial"/>
                <w:color w:val="000000"/>
              </w:rPr>
              <w:t>0.63</w:t>
            </w:r>
          </w:p>
        </w:tc>
        <w:tc>
          <w:tcPr>
            <w:tcW w:w="104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jc w:val="center"/>
              <w:rPr>
                <w:color w:val="000000"/>
                <w:sz w:val="20"/>
                <w:szCs w:val="20"/>
              </w:rPr>
            </w:pPr>
            <w:r>
              <w:rPr>
                <w:rFonts w:ascii="Arial" w:hAnsi="Arial" w:cs="Arial"/>
                <w:color w:val="000000"/>
              </w:rPr>
              <w:t>0.53</w:t>
            </w:r>
          </w:p>
        </w:tc>
      </w:tr>
      <w:tr w:rsidR="00CE3BD6" w:rsidTr="00BC29D8">
        <w:trPr>
          <w:tblCellSpacing w:w="15" w:type="dxa"/>
          <w:jc w:val="center"/>
        </w:trPr>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spacing w:before="0" w:beforeAutospacing="0" w:after="0" w:afterAutospacing="0"/>
              <w:rPr>
                <w:color w:val="000000"/>
                <w:sz w:val="20"/>
                <w:szCs w:val="20"/>
              </w:rPr>
            </w:pPr>
            <w:r>
              <w:rPr>
                <w:rFonts w:ascii="Arial" w:hAnsi="Arial" w:cs="Arial"/>
                <w:color w:val="000000"/>
              </w:rPr>
              <w:t>Quartz</w:t>
            </w:r>
          </w:p>
        </w:tc>
        <w:tc>
          <w:tcPr>
            <w:tcW w:w="132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0.27</w:t>
            </w:r>
          </w:p>
        </w:tc>
        <w:tc>
          <w:tcPr>
            <w:tcW w:w="160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jc w:val="center"/>
              <w:rPr>
                <w:color w:val="000000"/>
                <w:sz w:val="20"/>
                <w:szCs w:val="20"/>
              </w:rPr>
            </w:pPr>
            <w:r>
              <w:rPr>
                <w:rFonts w:ascii="Arial" w:hAnsi="Arial" w:cs="Arial"/>
                <w:color w:val="000000"/>
              </w:rPr>
              <w:t>0.21</w:t>
            </w:r>
          </w:p>
        </w:tc>
        <w:tc>
          <w:tcPr>
            <w:tcW w:w="154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0.22</w:t>
            </w:r>
          </w:p>
        </w:tc>
        <w:tc>
          <w:tcPr>
            <w:tcW w:w="94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jc w:val="center"/>
              <w:rPr>
                <w:color w:val="000000"/>
                <w:sz w:val="20"/>
                <w:szCs w:val="20"/>
              </w:rPr>
            </w:pPr>
            <w:r>
              <w:rPr>
                <w:rFonts w:ascii="Arial" w:hAnsi="Arial" w:cs="Arial"/>
                <w:color w:val="000000"/>
              </w:rPr>
              <w:t>0.02</w:t>
            </w:r>
          </w:p>
        </w:tc>
        <w:tc>
          <w:tcPr>
            <w:tcW w:w="104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jc w:val="center"/>
              <w:rPr>
                <w:color w:val="000000"/>
                <w:sz w:val="20"/>
                <w:szCs w:val="20"/>
              </w:rPr>
            </w:pPr>
            <w:r>
              <w:rPr>
                <w:rFonts w:ascii="Arial" w:hAnsi="Arial" w:cs="Arial"/>
                <w:color w:val="000000"/>
              </w:rPr>
              <w:t>0.00</w:t>
            </w:r>
          </w:p>
        </w:tc>
      </w:tr>
      <w:tr w:rsidR="00CE3BD6" w:rsidTr="00BC29D8">
        <w:trPr>
          <w:tblCellSpacing w:w="15" w:type="dxa"/>
          <w:jc w:val="center"/>
        </w:trPr>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spacing w:before="0" w:beforeAutospacing="0" w:after="0" w:afterAutospacing="0"/>
              <w:rPr>
                <w:color w:val="000000"/>
                <w:sz w:val="20"/>
                <w:szCs w:val="20"/>
              </w:rPr>
            </w:pPr>
            <w:r>
              <w:rPr>
                <w:rFonts w:ascii="Arial" w:hAnsi="Arial" w:cs="Arial"/>
                <w:color w:val="000000"/>
              </w:rPr>
              <w:t>K Feldspar</w:t>
            </w:r>
          </w:p>
        </w:tc>
        <w:tc>
          <w:tcPr>
            <w:tcW w:w="132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0.35</w:t>
            </w:r>
          </w:p>
        </w:tc>
        <w:tc>
          <w:tcPr>
            <w:tcW w:w="160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jc w:val="center"/>
              <w:rPr>
                <w:color w:val="000000"/>
                <w:sz w:val="20"/>
                <w:szCs w:val="20"/>
              </w:rPr>
            </w:pPr>
            <w:r>
              <w:rPr>
                <w:rFonts w:ascii="Arial" w:hAnsi="Arial" w:cs="Arial"/>
                <w:color w:val="000000"/>
              </w:rPr>
              <w:t>0.15</w:t>
            </w:r>
          </w:p>
        </w:tc>
        <w:tc>
          <w:tcPr>
            <w:tcW w:w="154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0.05</w:t>
            </w:r>
          </w:p>
        </w:tc>
        <w:tc>
          <w:tcPr>
            <w:tcW w:w="94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jc w:val="center"/>
              <w:rPr>
                <w:color w:val="000000"/>
                <w:sz w:val="20"/>
                <w:szCs w:val="20"/>
              </w:rPr>
            </w:pPr>
            <w:r>
              <w:rPr>
                <w:rFonts w:ascii="Arial" w:hAnsi="Arial" w:cs="Arial"/>
                <w:color w:val="000000"/>
              </w:rPr>
              <w:t>0.03</w:t>
            </w:r>
          </w:p>
        </w:tc>
        <w:tc>
          <w:tcPr>
            <w:tcW w:w="104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pStyle w:val="NormalIndent"/>
              <w:jc w:val="center"/>
              <w:rPr>
                <w:color w:val="000000"/>
                <w:sz w:val="20"/>
                <w:szCs w:val="20"/>
              </w:rPr>
            </w:pPr>
            <w:r>
              <w:rPr>
                <w:rFonts w:ascii="Arial" w:hAnsi="Arial" w:cs="Arial"/>
                <w:color w:val="000000"/>
              </w:rPr>
              <w:t>0.16</w:t>
            </w:r>
          </w:p>
        </w:tc>
      </w:tr>
      <w:tr w:rsidR="00CE3BD6" w:rsidTr="00BC29D8">
        <w:trPr>
          <w:tblCellSpacing w:w="15" w:type="dxa"/>
          <w:jc w:val="center"/>
        </w:trPr>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rPr>
                <w:color w:val="000000"/>
                <w:sz w:val="20"/>
                <w:szCs w:val="20"/>
              </w:rPr>
            </w:pPr>
            <w:r>
              <w:rPr>
                <w:rFonts w:ascii="Arial" w:hAnsi="Arial" w:cs="Arial"/>
                <w:color w:val="000000"/>
              </w:rPr>
              <w:t>Orthopyroxene</w:t>
            </w:r>
          </w:p>
        </w:tc>
        <w:tc>
          <w:tcPr>
            <w:tcW w:w="132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0.00</w:t>
            </w:r>
          </w:p>
        </w:tc>
        <w:tc>
          <w:tcPr>
            <w:tcW w:w="160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0.00</w:t>
            </w:r>
          </w:p>
        </w:tc>
        <w:tc>
          <w:tcPr>
            <w:tcW w:w="154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0.00</w:t>
            </w:r>
          </w:p>
        </w:tc>
        <w:tc>
          <w:tcPr>
            <w:tcW w:w="94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0.00</w:t>
            </w:r>
          </w:p>
        </w:tc>
        <w:tc>
          <w:tcPr>
            <w:tcW w:w="104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0.15</w:t>
            </w:r>
          </w:p>
        </w:tc>
      </w:tr>
      <w:tr w:rsidR="00CE3BD6" w:rsidTr="00BC29D8">
        <w:trPr>
          <w:tblCellSpacing w:w="15" w:type="dxa"/>
          <w:jc w:val="center"/>
        </w:trPr>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rPr>
                <w:color w:val="000000"/>
                <w:sz w:val="20"/>
                <w:szCs w:val="20"/>
              </w:rPr>
            </w:pPr>
            <w:r>
              <w:rPr>
                <w:rFonts w:ascii="Arial" w:hAnsi="Arial" w:cs="Arial"/>
                <w:color w:val="000000"/>
              </w:rPr>
              <w:t>Other</w:t>
            </w:r>
          </w:p>
        </w:tc>
        <w:tc>
          <w:tcPr>
            <w:tcW w:w="132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0.08</w:t>
            </w:r>
          </w:p>
        </w:tc>
        <w:tc>
          <w:tcPr>
            <w:tcW w:w="160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0.18</w:t>
            </w:r>
          </w:p>
        </w:tc>
        <w:tc>
          <w:tcPr>
            <w:tcW w:w="154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0.20</w:t>
            </w:r>
          </w:p>
        </w:tc>
        <w:tc>
          <w:tcPr>
            <w:tcW w:w="940"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0.32</w:t>
            </w:r>
          </w:p>
        </w:tc>
        <w:tc>
          <w:tcPr>
            <w:tcW w:w="104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E3BD6" w:rsidRDefault="00CE3BD6" w:rsidP="00121B54">
            <w:pPr>
              <w:spacing w:after="0"/>
              <w:jc w:val="center"/>
              <w:rPr>
                <w:color w:val="000000"/>
                <w:sz w:val="20"/>
                <w:szCs w:val="20"/>
              </w:rPr>
            </w:pPr>
            <w:r>
              <w:rPr>
                <w:rFonts w:ascii="Arial" w:hAnsi="Arial" w:cs="Arial"/>
                <w:color w:val="000000"/>
              </w:rPr>
              <w:t>0.16</w:t>
            </w:r>
          </w:p>
        </w:tc>
      </w:tr>
    </w:tbl>
    <w:p w:rsidR="00CE3BD6" w:rsidRPr="00677ED8" w:rsidRDefault="00E87E56" w:rsidP="00C669BB">
      <w:pPr>
        <w:pStyle w:val="NormalWeb"/>
        <w:rPr>
          <w:rFonts w:ascii="Arial" w:hAnsi="Arial" w:cs="Arial"/>
          <w:color w:val="000000"/>
        </w:rPr>
      </w:pPr>
      <w:r>
        <w:rPr>
          <w:rFonts w:ascii="Arial" w:hAnsi="Arial" w:cs="Arial"/>
          <w:color w:val="000000"/>
        </w:rPr>
        <w:t xml:space="preserve">This table is based on the illustration </w:t>
      </w:r>
      <w:r w:rsidR="00BC29D8">
        <w:rPr>
          <w:rFonts w:ascii="Arial" w:hAnsi="Arial" w:cs="Arial"/>
          <w:color w:val="000000"/>
        </w:rPr>
        <w:t>given</w:t>
      </w:r>
      <w:r>
        <w:rPr>
          <w:rFonts w:ascii="Arial" w:hAnsi="Arial" w:cs="Arial"/>
          <w:color w:val="000000"/>
        </w:rPr>
        <w:t xml:space="preserve"> below, courtesy of Schlumberger.</w:t>
      </w:r>
    </w:p>
    <w:p w:rsidR="00AE413C" w:rsidRDefault="00AE413C" w:rsidP="00C669BB">
      <w:pPr>
        <w:pStyle w:val="NormalWeb"/>
        <w:jc w:val="center"/>
        <w:rPr>
          <w:color w:val="000000"/>
        </w:rPr>
      </w:pPr>
      <w:r>
        <w:rPr>
          <w:i/>
          <w:iCs/>
          <w:noProof/>
          <w:color w:val="000000"/>
        </w:rPr>
        <w:lastRenderedPageBreak/>
        <w:drawing>
          <wp:inline distT="0" distB="0" distL="0" distR="0" wp14:anchorId="41D80874" wp14:editId="17C92854">
            <wp:extent cx="5574718" cy="7747000"/>
            <wp:effectExtent l="0" t="0" r="6985" b="6350"/>
            <wp:docPr id="10" name="Picture 10" descr="C:\spec2000.net\text109fp\Ig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pec2000.net\text109fp\Ign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4867" cy="7747207"/>
                    </a:xfrm>
                    <a:prstGeom prst="rect">
                      <a:avLst/>
                    </a:prstGeom>
                    <a:noFill/>
                    <a:ln>
                      <a:noFill/>
                    </a:ln>
                  </pic:spPr>
                </pic:pic>
              </a:graphicData>
            </a:graphic>
          </wp:inline>
        </w:drawing>
      </w:r>
      <w:r>
        <w:rPr>
          <w:i/>
          <w:iCs/>
          <w:color w:val="000000"/>
        </w:rPr>
        <w:br/>
      </w:r>
      <w:r w:rsidR="00DA50FB">
        <w:rPr>
          <w:rStyle w:val="Emphasis"/>
          <w:rFonts w:ascii="Arial" w:hAnsi="Arial" w:cs="Arial"/>
          <w:color w:val="000000"/>
        </w:rPr>
        <w:t xml:space="preserve">FIGURE 3: </w:t>
      </w:r>
      <w:r>
        <w:rPr>
          <w:rFonts w:ascii="Arial" w:hAnsi="Arial" w:cs="Arial"/>
          <w:i/>
          <w:iCs/>
          <w:color w:val="000000"/>
        </w:rPr>
        <w:t>Typical mineral</w:t>
      </w:r>
      <w:r w:rsidR="003B43AB">
        <w:rPr>
          <w:rFonts w:ascii="Arial" w:hAnsi="Arial" w:cs="Arial"/>
          <w:i/>
          <w:iCs/>
          <w:color w:val="000000"/>
        </w:rPr>
        <w:t xml:space="preserve"> composition of igneous rocks – use as a guide to convert minerals to rock-types.</w:t>
      </w:r>
    </w:p>
    <w:p w:rsidR="00AB6383" w:rsidRDefault="00AE413C" w:rsidP="00E87E56">
      <w:pPr>
        <w:pStyle w:val="NormalWeb"/>
        <w:spacing w:before="0" w:beforeAutospacing="0" w:after="0" w:afterAutospacing="0"/>
        <w:rPr>
          <w:rFonts w:ascii="Arial" w:hAnsi="Arial" w:cs="Arial"/>
          <w:b/>
          <w:bCs/>
          <w:caps/>
          <w:color w:val="FF0000"/>
        </w:rPr>
      </w:pPr>
      <w:r>
        <w:rPr>
          <w:rFonts w:ascii="Arial" w:hAnsi="Arial" w:cs="Arial"/>
          <w:color w:val="000000"/>
          <w:lang w:val="en-US"/>
        </w:rPr>
        <w:lastRenderedPageBreak/>
        <w:t xml:space="preserve">Since a typical log suite can solve for 3 or 4 minerals at best, you need to </w:t>
      </w:r>
      <w:r w:rsidR="00BC29D8">
        <w:rPr>
          <w:rFonts w:ascii="Arial" w:hAnsi="Arial" w:cs="Arial"/>
          <w:color w:val="000000"/>
          <w:lang w:val="en-US"/>
        </w:rPr>
        <w:t>choose</w:t>
      </w:r>
      <w:r>
        <w:rPr>
          <w:rFonts w:ascii="Arial" w:hAnsi="Arial" w:cs="Arial"/>
          <w:color w:val="000000"/>
          <w:lang w:val="en-US"/>
        </w:rPr>
        <w:t xml:space="preserve"> the dominant minerals and zone your work carefully. If you have additional useful log curves, you might try for more minerals or set up several 4 mineral models in a probabilistic solution. A good core or sample description will help you choose a reasonable mineral suite.</w:t>
      </w:r>
      <w:bookmarkStart w:id="7" w:name="b10"/>
      <w:bookmarkEnd w:id="7"/>
      <w:r w:rsidR="00E87E56">
        <w:rPr>
          <w:rFonts w:ascii="Arial" w:hAnsi="Arial" w:cs="Arial"/>
          <w:color w:val="000000"/>
          <w:lang w:val="en-US"/>
        </w:rPr>
        <w:br/>
      </w:r>
      <w:r w:rsidR="00E87E56">
        <w:rPr>
          <w:rFonts w:ascii="Arial" w:hAnsi="Arial" w:cs="Arial"/>
          <w:color w:val="000000"/>
          <w:lang w:val="en-US"/>
        </w:rPr>
        <w:br/>
      </w:r>
      <w:r w:rsidR="00E87E56">
        <w:rPr>
          <w:rFonts w:ascii="Arial" w:hAnsi="Arial" w:cs="Arial"/>
          <w:color w:val="000000"/>
          <w:lang w:val="en-US"/>
        </w:rPr>
        <w:br/>
      </w:r>
    </w:p>
    <w:p w:rsidR="00AE413C" w:rsidRDefault="00AB6383" w:rsidP="00E87E56">
      <w:pPr>
        <w:pStyle w:val="NormalWeb"/>
        <w:spacing w:before="0" w:beforeAutospacing="0" w:after="0" w:afterAutospacing="0"/>
        <w:rPr>
          <w:color w:val="000000"/>
        </w:rPr>
      </w:pPr>
      <w:r w:rsidRPr="00056E34">
        <w:rPr>
          <w:rFonts w:ascii="Arial" w:hAnsi="Arial" w:cs="Arial"/>
          <w:b/>
          <w:bCs/>
          <w:caps/>
        </w:rPr>
        <w:t xml:space="preserve">eXAMPLe </w:t>
      </w:r>
      <w:r w:rsidR="00CE51F5" w:rsidRPr="00056E34">
        <w:rPr>
          <w:rFonts w:ascii="Arial" w:hAnsi="Arial" w:cs="Arial"/>
          <w:b/>
          <w:bCs/>
          <w:caps/>
        </w:rPr>
        <w:t xml:space="preserve">#1 </w:t>
      </w:r>
      <w:r w:rsidRPr="00056E34">
        <w:rPr>
          <w:rFonts w:ascii="Arial" w:hAnsi="Arial" w:cs="Arial"/>
          <w:b/>
          <w:bCs/>
          <w:caps/>
        </w:rPr>
        <w:t xml:space="preserve">–  </w:t>
      </w:r>
      <w:r w:rsidR="00AE413C" w:rsidRPr="00056E34">
        <w:rPr>
          <w:rFonts w:ascii="Arial" w:hAnsi="Arial" w:cs="Arial"/>
          <w:b/>
          <w:bCs/>
          <w:caps/>
        </w:rPr>
        <w:t xml:space="preserve">METAMORPHIC SAND / Granite </w:t>
      </w:r>
      <w:r w:rsidR="00AE413C" w:rsidRPr="00056E34">
        <w:rPr>
          <w:rFonts w:ascii="Arial" w:hAnsi="Arial" w:cs="Arial"/>
          <w:b/>
          <w:bCs/>
        </w:rPr>
        <w:br/>
      </w:r>
      <w:r w:rsidR="00184F3B">
        <w:rPr>
          <w:rFonts w:ascii="Arial" w:hAnsi="Arial" w:cs="Arial"/>
          <w:color w:val="000000"/>
        </w:rPr>
        <w:t>This</w:t>
      </w:r>
      <w:r w:rsidR="00AE413C">
        <w:rPr>
          <w:rFonts w:ascii="Arial" w:hAnsi="Arial" w:cs="Arial"/>
          <w:color w:val="000000"/>
        </w:rPr>
        <w:t xml:space="preserve"> is a granite/metamorphic example from Indonesia.</w:t>
      </w:r>
      <w:r w:rsidR="00184F3B">
        <w:rPr>
          <w:rFonts w:ascii="Arial" w:hAnsi="Arial" w:cs="Arial"/>
          <w:color w:val="000000"/>
        </w:rPr>
        <w:t xml:space="preserve"> It is a gas well but is displayed here to illustrate the match between log analysis mineralogy and sample descriptions. </w:t>
      </w:r>
      <w:r w:rsidR="001A0063">
        <w:rPr>
          <w:rFonts w:ascii="Arial" w:hAnsi="Arial" w:cs="Arial"/>
          <w:color w:val="000000"/>
        </w:rPr>
        <w:br/>
      </w:r>
      <w:r w:rsidR="001A0063">
        <w:rPr>
          <w:rFonts w:ascii="Arial" w:hAnsi="Arial" w:cs="Arial"/>
          <w:color w:val="000000"/>
        </w:rPr>
        <w:br/>
      </w:r>
      <w:r w:rsidR="00AE413C">
        <w:rPr>
          <w:rFonts w:ascii="Arial" w:hAnsi="Arial" w:cs="Arial"/>
          <w:color w:val="000000"/>
        </w:rPr>
        <w:t>The reservoir has porous granite at the base, metamorphic sandstone above, topped by conventional sandstone. Porosity is moderately low throughout but the gas column is continuous. Interbedded shales (schist or gneiss in the metamorphic interval) are present but do not act as barriers to vertical flow.</w:t>
      </w:r>
    </w:p>
    <w:p w:rsidR="0099220A" w:rsidRPr="001A0063" w:rsidRDefault="00AE413C" w:rsidP="0099220A">
      <w:pPr>
        <w:pStyle w:val="NormalWeb"/>
        <w:rPr>
          <w:i/>
          <w:color w:val="000000"/>
        </w:rPr>
      </w:pPr>
      <w:r>
        <w:rPr>
          <w:rFonts w:ascii="Arial" w:hAnsi="Arial" w:cs="Arial"/>
          <w:color w:val="000000"/>
        </w:rPr>
        <w:t xml:space="preserve">In this case, the mineralogy was calibrated by quantitative sample descriptions, which in turn were keyed to raw log response to minimize cavings and depth control issues. </w:t>
      </w:r>
      <w:r w:rsidR="001A0063">
        <w:rPr>
          <w:rFonts w:ascii="Arial" w:hAnsi="Arial" w:cs="Arial"/>
          <w:color w:val="000000"/>
        </w:rPr>
        <w:br/>
      </w:r>
      <w:r w:rsidR="001A0063">
        <w:rPr>
          <w:rFonts w:ascii="Arial" w:hAnsi="Arial" w:cs="Arial"/>
          <w:color w:val="000000"/>
        </w:rPr>
        <w:br/>
      </w:r>
      <w:r>
        <w:rPr>
          <w:rFonts w:ascii="Arial" w:hAnsi="Arial" w:cs="Arial"/>
          <w:color w:val="000000"/>
        </w:rPr>
        <w:t xml:space="preserve">Porosity </w:t>
      </w:r>
      <w:r w:rsidR="00AB6383">
        <w:rPr>
          <w:rFonts w:ascii="Arial" w:hAnsi="Arial" w:cs="Arial"/>
          <w:color w:val="000000"/>
        </w:rPr>
        <w:t xml:space="preserve">was </w:t>
      </w:r>
      <w:r>
        <w:rPr>
          <w:rFonts w:ascii="Arial" w:hAnsi="Arial" w:cs="Arial"/>
          <w:color w:val="000000"/>
        </w:rPr>
        <w:t xml:space="preserve">derived from conventional log analysis methods. The reservoir is naturally fractured and a fracture intensity curve was generated from anomalies on the open hole logs. This was compared to the fracture intensity from resistivity micro image log data. </w:t>
      </w:r>
      <w:r>
        <w:rPr>
          <w:color w:val="000000"/>
        </w:rPr>
        <w:br/>
      </w:r>
      <w:r w:rsidR="0099220A">
        <w:rPr>
          <w:noProof/>
          <w:color w:val="000000"/>
        </w:rPr>
        <w:br/>
      </w:r>
      <w:r w:rsidR="0099220A">
        <w:rPr>
          <w:rStyle w:val="Emphasis"/>
          <w:rFonts w:ascii="Arial" w:hAnsi="Arial" w:cs="Arial"/>
          <w:i w:val="0"/>
          <w:color w:val="000000"/>
        </w:rPr>
        <w:t xml:space="preserve">In the image below, </w:t>
      </w:r>
      <w:r w:rsidR="00BC29D8" w:rsidRPr="001A0063">
        <w:rPr>
          <w:rStyle w:val="Emphasis"/>
          <w:rFonts w:ascii="Arial" w:hAnsi="Arial" w:cs="Arial"/>
          <w:i w:val="0"/>
          <w:color w:val="000000"/>
        </w:rPr>
        <w:t>compare</w:t>
      </w:r>
      <w:r w:rsidR="0099220A" w:rsidRPr="001A0063">
        <w:rPr>
          <w:rStyle w:val="Emphasis"/>
          <w:rFonts w:ascii="Arial" w:hAnsi="Arial" w:cs="Arial"/>
          <w:i w:val="0"/>
          <w:color w:val="000000"/>
        </w:rPr>
        <w:t xml:space="preserve"> fracture intensity from log anomalies (black shaded curve in porosity track with fracture intensity from FMI (red curve, track 4). Best gas production in granite is confirmed by gas show on gas log and by production logging in open hole. Sample descriptions show minerals as seen in microscope (quartz, feldspar, mica) to nearest 5%. Log analysis lithology show rock type, not minerals (quartz, granite, granodiorite). The sands and shale immediately above the granite are metamorphosed, visible in samples, but there is little effect on log properties except for low clay bound water on neutron and density logs in the shale/slate. Some wells had limestone marble in the metamorphosed interval.</w:t>
      </w:r>
    </w:p>
    <w:p w:rsidR="008A751E" w:rsidRDefault="008A751E" w:rsidP="00C669BB">
      <w:pPr>
        <w:pStyle w:val="NormalWeb"/>
        <w:rPr>
          <w:noProof/>
          <w:color w:val="000000"/>
        </w:rPr>
      </w:pPr>
    </w:p>
    <w:p w:rsidR="00AB6383" w:rsidRDefault="00AB6383" w:rsidP="00C669BB">
      <w:pPr>
        <w:pStyle w:val="NormalWeb"/>
        <w:rPr>
          <w:noProof/>
          <w:color w:val="000000"/>
        </w:rPr>
      </w:pPr>
    </w:p>
    <w:p w:rsidR="00AE413C" w:rsidRDefault="00941022" w:rsidP="0099220A">
      <w:pPr>
        <w:pStyle w:val="NormalWeb"/>
        <w:jc w:val="center"/>
        <w:rPr>
          <w:rStyle w:val="Emphasis"/>
          <w:rFonts w:ascii="Arial" w:hAnsi="Arial" w:cs="Arial"/>
          <w:color w:val="000000"/>
        </w:rPr>
      </w:pPr>
      <w:r>
        <w:rPr>
          <w:noProof/>
          <w:color w:val="000000"/>
        </w:rPr>
        <w:lastRenderedPageBreak/>
        <w:drawing>
          <wp:inline distT="0" distB="0" distL="0" distR="0" wp14:anchorId="1B1CDE5B" wp14:editId="3D8B199B">
            <wp:extent cx="4155136" cy="7052733"/>
            <wp:effectExtent l="0" t="0" r="0" b="0"/>
            <wp:docPr id="1" name="Picture 1" descr="C:\ERC IP Tech Papers\SMP2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C IP Tech Papers\SMP2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4343" cy="7068361"/>
                    </a:xfrm>
                    <a:prstGeom prst="rect">
                      <a:avLst/>
                    </a:prstGeom>
                    <a:noFill/>
                    <a:ln>
                      <a:noFill/>
                    </a:ln>
                  </pic:spPr>
                </pic:pic>
              </a:graphicData>
            </a:graphic>
          </wp:inline>
        </w:drawing>
      </w:r>
      <w:r w:rsidR="008A751E">
        <w:rPr>
          <w:noProof/>
          <w:color w:val="000000"/>
        </w:rPr>
        <w:br/>
      </w:r>
      <w:r w:rsidR="00DA50FB">
        <w:rPr>
          <w:rStyle w:val="Emphasis"/>
          <w:rFonts w:ascii="Arial" w:hAnsi="Arial" w:cs="Arial"/>
          <w:color w:val="000000"/>
        </w:rPr>
        <w:t xml:space="preserve">FIGURE 4: </w:t>
      </w:r>
      <w:r w:rsidR="00AE413C">
        <w:rPr>
          <w:rStyle w:val="Emphasis"/>
          <w:rFonts w:ascii="Arial" w:hAnsi="Arial" w:cs="Arial"/>
          <w:color w:val="000000"/>
        </w:rPr>
        <w:t>Metamorphic / Granite example with spectral GR (Track 1), total gas (Track 2), resistivity (Track 3), fracture aperture, fracture intensity, fracture porosity (from FMI processing, Track 4), density, neutron, PE (Track 5), log analysis porosity (Track 6), water saturation (Track 7), core permeability (Track 8), quantitative sample description (Track 9), calculated lithology (Track 10).</w:t>
      </w:r>
    </w:p>
    <w:p w:rsidR="00AE413C" w:rsidRDefault="0099220A" w:rsidP="00C669BB">
      <w:pPr>
        <w:pStyle w:val="NormalWeb"/>
        <w:rPr>
          <w:color w:val="000000"/>
        </w:rPr>
      </w:pPr>
      <w:bookmarkStart w:id="8" w:name="b11"/>
      <w:bookmarkEnd w:id="8"/>
      <w:r w:rsidRPr="00056E34">
        <w:rPr>
          <w:rFonts w:ascii="Arial" w:hAnsi="Arial" w:cs="Arial"/>
          <w:b/>
          <w:bCs/>
          <w:caps/>
        </w:rPr>
        <w:lastRenderedPageBreak/>
        <w:t xml:space="preserve">eXAMPLe </w:t>
      </w:r>
      <w:r w:rsidR="00CE51F5" w:rsidRPr="00056E34">
        <w:rPr>
          <w:rFonts w:ascii="Arial" w:hAnsi="Arial" w:cs="Arial"/>
          <w:b/>
          <w:bCs/>
          <w:caps/>
        </w:rPr>
        <w:t xml:space="preserve">#2 </w:t>
      </w:r>
      <w:r w:rsidRPr="00056E34">
        <w:rPr>
          <w:rFonts w:ascii="Arial" w:hAnsi="Arial" w:cs="Arial"/>
          <w:b/>
          <w:bCs/>
          <w:caps/>
        </w:rPr>
        <w:t xml:space="preserve">– FRACTURED </w:t>
      </w:r>
      <w:r w:rsidR="00AE413C" w:rsidRPr="00056E34">
        <w:rPr>
          <w:rFonts w:ascii="Arial" w:hAnsi="Arial" w:cs="Arial"/>
          <w:b/>
          <w:bCs/>
          <w:caps/>
        </w:rPr>
        <w:t>Granite</w:t>
      </w:r>
      <w:r w:rsidRPr="00056E34">
        <w:rPr>
          <w:rFonts w:ascii="Arial" w:hAnsi="Arial" w:cs="Arial"/>
          <w:b/>
          <w:bCs/>
          <w:caps/>
        </w:rPr>
        <w:t xml:space="preserve"> with</w:t>
      </w:r>
      <w:r w:rsidR="00AE413C" w:rsidRPr="00056E34">
        <w:rPr>
          <w:rFonts w:ascii="Arial" w:hAnsi="Arial" w:cs="Arial"/>
          <w:b/>
          <w:bCs/>
          <w:caps/>
        </w:rPr>
        <w:t xml:space="preserve"> POROS</w:t>
      </w:r>
      <w:r w:rsidRPr="00056E34">
        <w:rPr>
          <w:rFonts w:ascii="Arial" w:hAnsi="Arial" w:cs="Arial"/>
          <w:b/>
          <w:bCs/>
          <w:caps/>
        </w:rPr>
        <w:t>ity</w:t>
      </w:r>
      <w:r w:rsidR="00AE413C" w:rsidRPr="00056E34">
        <w:rPr>
          <w:rFonts w:ascii="Arial" w:hAnsi="Arial" w:cs="Arial"/>
          <w:b/>
          <w:bCs/>
          <w:caps/>
        </w:rPr>
        <w:br/>
      </w:r>
      <w:r w:rsidR="00AE413C">
        <w:rPr>
          <w:rFonts w:ascii="Arial" w:hAnsi="Arial" w:cs="Arial"/>
          <w:color w:val="000000"/>
        </w:rPr>
        <w:t>This example is from the Bach Ho (White Tiger) Field in Viet Nam</w:t>
      </w:r>
      <w:r w:rsidR="00861472">
        <w:rPr>
          <w:rFonts w:ascii="Arial" w:hAnsi="Arial" w:cs="Arial"/>
          <w:color w:val="000000"/>
        </w:rPr>
        <w:t>. It is not a geothermal prospect but the logs and analysis methods demonstrate precisely what should be done for any geothermal well which is not too hot for the available logging tools.</w:t>
      </w:r>
    </w:p>
    <w:p w:rsidR="00AE413C" w:rsidRDefault="00AE413C" w:rsidP="00C669BB">
      <w:pPr>
        <w:pStyle w:val="NormalWeb"/>
        <w:rPr>
          <w:color w:val="000000"/>
        </w:rPr>
      </w:pPr>
      <w:r>
        <w:rPr>
          <w:rFonts w:ascii="Arial" w:hAnsi="Arial" w:cs="Arial"/>
          <w:color w:val="000000"/>
        </w:rPr>
        <w:t xml:space="preserve">Log analysis in these reservoirs requires good geological input as to mineralogy and porosity. A good coring and sample description program is essential, and production tests are </w:t>
      </w:r>
      <w:r w:rsidR="005B67FD">
        <w:rPr>
          <w:rFonts w:ascii="Arial" w:hAnsi="Arial" w:cs="Arial"/>
          <w:color w:val="000000"/>
        </w:rPr>
        <w:t>helpful</w:t>
      </w:r>
      <w:r>
        <w:rPr>
          <w:rFonts w:ascii="Arial" w:hAnsi="Arial" w:cs="Arial"/>
          <w:color w:val="000000"/>
        </w:rPr>
        <w:t>. The analyst often has to separate ineffective (disconnected vugs) from effective porosity and account for fracture porosity and permeability. All the usual mineral identification crossplots are useful but the mineral mix may be very different than normal reservoirs.</w:t>
      </w:r>
      <w:r w:rsidR="005B67FD">
        <w:rPr>
          <w:rFonts w:ascii="Arial" w:hAnsi="Arial" w:cs="Arial"/>
          <w:color w:val="000000"/>
        </w:rPr>
        <w:br/>
      </w:r>
      <w:r w:rsidR="005B67FD">
        <w:rPr>
          <w:rFonts w:ascii="Arial" w:hAnsi="Arial" w:cs="Arial"/>
          <w:color w:val="000000"/>
        </w:rPr>
        <w:br/>
      </w:r>
      <w:r w:rsidR="00DA50FB">
        <w:rPr>
          <w:rStyle w:val="Emphasis"/>
          <w:rFonts w:ascii="Arial" w:hAnsi="Arial" w:cs="Arial"/>
          <w:color w:val="000000"/>
        </w:rPr>
        <w:t xml:space="preserve">FIGURE 5: </w:t>
      </w:r>
      <w:r>
        <w:rPr>
          <w:noProof/>
          <w:color w:val="000000"/>
        </w:rPr>
        <w:drawing>
          <wp:anchor distT="0" distB="0" distL="47625" distR="47625" simplePos="0" relativeHeight="251658752" behindDoc="0" locked="0" layoutInCell="1" allowOverlap="0" wp14:anchorId="1C623344" wp14:editId="7E557704">
            <wp:simplePos x="0" y="0"/>
            <wp:positionH relativeFrom="column">
              <wp:align>right</wp:align>
            </wp:positionH>
            <wp:positionV relativeFrom="line">
              <wp:posOffset>0</wp:posOffset>
            </wp:positionV>
            <wp:extent cx="2447925" cy="1609725"/>
            <wp:effectExtent l="0" t="0" r="9525" b="9525"/>
            <wp:wrapSquare wrapText="bothSides"/>
            <wp:docPr id="24" name="Picture 24" descr="C:\spec2000.net\text112fp\new-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pec2000.net\text112fp\new-4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mphasis"/>
          <w:rFonts w:ascii="Arial" w:hAnsi="Arial" w:cs="Arial"/>
          <w:color w:val="000000"/>
        </w:rPr>
        <w:t xml:space="preserve">Ternary Diagram for Granite  </w:t>
      </w:r>
      <w:r w:rsidR="005B67FD" w:rsidRPr="005B67FD">
        <w:rPr>
          <w:rFonts w:ascii="Arial" w:hAnsi="Arial" w:cs="Arial"/>
          <w:i/>
          <w:iCs/>
          <w:noProof/>
          <w:color w:val="000000"/>
        </w:rPr>
        <w:sym w:font="Wingdings" w:char="F0E8"/>
      </w:r>
    </w:p>
    <w:p w:rsidR="00AE413C" w:rsidRDefault="00AE413C" w:rsidP="00C669BB">
      <w:pPr>
        <w:pStyle w:val="NormalWeb"/>
        <w:rPr>
          <w:color w:val="000000"/>
        </w:rPr>
      </w:pPr>
      <w:r>
        <w:rPr>
          <w:rFonts w:ascii="Arial" w:hAnsi="Arial" w:cs="Arial"/>
          <w:color w:val="000000"/>
        </w:rPr>
        <w:t xml:space="preserve">In the example below, the granitic mineral assemblage was defined by the ternary diagram at right. The three minerals (quartz, feldspar, and plagioclase) were computed from a modified Mlith vs Nlith model, in which PE was substituted for PHIN in the Nlith equation. If data fell too far outside the triangle, mica was exchanged for the quartz. </w:t>
      </w:r>
    </w:p>
    <w:p w:rsidR="00AE413C" w:rsidRDefault="00AE413C" w:rsidP="00C669BB">
      <w:pPr>
        <w:pStyle w:val="NormalWeb"/>
        <w:rPr>
          <w:color w:val="000000"/>
        </w:rPr>
      </w:pPr>
      <w:r>
        <w:rPr>
          <w:rFonts w:ascii="Arial" w:hAnsi="Arial" w:cs="Arial"/>
          <w:color w:val="000000"/>
        </w:rPr>
        <w:t>Three rock types, granite, diorite, and monzonite, were derived from the three minerals. A trigger was set to detect basalt intrusions. A sample crossplot below shows how the lithology model effectively separates the minerals.</w:t>
      </w:r>
    </w:p>
    <w:p w:rsidR="00AE413C" w:rsidRDefault="00AE413C" w:rsidP="00C669BB">
      <w:pPr>
        <w:pStyle w:val="NormalWeb"/>
        <w:jc w:val="center"/>
        <w:rPr>
          <w:color w:val="000000"/>
        </w:rPr>
      </w:pPr>
      <w:r>
        <w:rPr>
          <w:rFonts w:ascii="Arial" w:hAnsi="Arial" w:cs="Arial"/>
          <w:noProof/>
          <w:color w:val="000000"/>
        </w:rPr>
        <w:drawing>
          <wp:inline distT="0" distB="0" distL="0" distR="0" wp14:anchorId="2FC3C0F3" wp14:editId="03CE04B8">
            <wp:extent cx="4597400" cy="2506345"/>
            <wp:effectExtent l="0" t="0" r="0" b="8255"/>
            <wp:docPr id="5" name="Picture 5" descr="C:\spec2000.net\text112fp\new-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pec2000.net\text112fp\new-4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7400" cy="2506345"/>
                    </a:xfrm>
                    <a:prstGeom prst="rect">
                      <a:avLst/>
                    </a:prstGeom>
                    <a:noFill/>
                    <a:ln>
                      <a:noFill/>
                    </a:ln>
                  </pic:spPr>
                </pic:pic>
              </a:graphicData>
            </a:graphic>
          </wp:inline>
        </w:drawing>
      </w:r>
      <w:r>
        <w:rPr>
          <w:rFonts w:ascii="Arial" w:hAnsi="Arial" w:cs="Arial"/>
          <w:color w:val="000000"/>
        </w:rPr>
        <w:br/>
      </w:r>
      <w:r w:rsidR="001F249A">
        <w:rPr>
          <w:rStyle w:val="Emphasis"/>
          <w:rFonts w:ascii="Arial" w:hAnsi="Arial" w:cs="Arial"/>
          <w:color w:val="000000"/>
        </w:rPr>
        <w:t>FIGURE 5</w:t>
      </w:r>
      <w:r w:rsidR="00DA50FB">
        <w:rPr>
          <w:rStyle w:val="Emphasis"/>
          <w:rFonts w:ascii="Arial" w:hAnsi="Arial" w:cs="Arial"/>
          <w:color w:val="000000"/>
        </w:rPr>
        <w:t xml:space="preserve">: </w:t>
      </w:r>
      <w:r>
        <w:rPr>
          <w:rStyle w:val="Emphasis"/>
          <w:rFonts w:ascii="Arial" w:hAnsi="Arial" w:cs="Arial"/>
          <w:color w:val="000000"/>
        </w:rPr>
        <w:t>Mlith vs Plith crossplot for granite (micaceous data excluded)</w:t>
      </w:r>
    </w:p>
    <w:p w:rsidR="00AE413C" w:rsidRDefault="00AE413C" w:rsidP="00C669BB">
      <w:pPr>
        <w:pStyle w:val="NormalWeb"/>
        <w:jc w:val="center"/>
        <w:rPr>
          <w:color w:val="000000"/>
        </w:rPr>
      </w:pPr>
      <w:r>
        <w:rPr>
          <w:rFonts w:ascii="Arial" w:hAnsi="Arial" w:cs="Arial"/>
          <w:i/>
          <w:iCs/>
          <w:noProof/>
          <w:color w:val="000000"/>
        </w:rPr>
        <w:lastRenderedPageBreak/>
        <w:drawing>
          <wp:inline distT="0" distB="0" distL="0" distR="0" wp14:anchorId="1197C38A" wp14:editId="06353D8F">
            <wp:extent cx="6621145" cy="5401945"/>
            <wp:effectExtent l="0" t="0" r="8255" b="8255"/>
            <wp:docPr id="4" name="Picture 4" descr="C:\spec2000.net\text112fp\0006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spec2000.net\text112fp\00067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1145" cy="5401945"/>
                    </a:xfrm>
                    <a:prstGeom prst="rect">
                      <a:avLst/>
                    </a:prstGeom>
                    <a:noFill/>
                    <a:ln>
                      <a:noFill/>
                    </a:ln>
                  </pic:spPr>
                </pic:pic>
              </a:graphicData>
            </a:graphic>
          </wp:inline>
        </w:drawing>
      </w:r>
      <w:r w:rsidR="00DA50FB" w:rsidRPr="00DA50FB">
        <w:rPr>
          <w:rStyle w:val="Emphasis"/>
          <w:rFonts w:ascii="Arial" w:hAnsi="Arial" w:cs="Arial"/>
          <w:color w:val="000000"/>
        </w:rPr>
        <w:t xml:space="preserve"> </w:t>
      </w:r>
      <w:r w:rsidR="00DA50FB">
        <w:rPr>
          <w:rStyle w:val="Emphasis"/>
          <w:rFonts w:ascii="Arial" w:hAnsi="Arial" w:cs="Arial"/>
          <w:color w:val="000000"/>
        </w:rPr>
        <w:t xml:space="preserve">FIGURE </w:t>
      </w:r>
      <w:r w:rsidR="001F249A">
        <w:rPr>
          <w:rStyle w:val="Emphasis"/>
          <w:rFonts w:ascii="Arial" w:hAnsi="Arial" w:cs="Arial"/>
          <w:color w:val="000000"/>
        </w:rPr>
        <w:t>6</w:t>
      </w:r>
      <w:r w:rsidR="00DA50FB">
        <w:rPr>
          <w:rStyle w:val="Emphasis"/>
          <w:rFonts w:ascii="Arial" w:hAnsi="Arial" w:cs="Arial"/>
          <w:color w:val="000000"/>
        </w:rPr>
        <w:t xml:space="preserve">: </w:t>
      </w:r>
      <w:r>
        <w:rPr>
          <w:rFonts w:ascii="Arial" w:hAnsi="Arial" w:cs="Arial"/>
          <w:i/>
          <w:iCs/>
          <w:color w:val="000000"/>
        </w:rPr>
        <w:t>In this fractured granite example, raw data curves are shown in Tracks 1, 2, and 3 with effective porosity, water saturation, and matrix permeability in Tracks 4, 5, and 6. The mineral model calculated from the log analysis is in Track 7 and the rock type model calculated from the minerals using the ternary diagram is in Track 8. Basalt was triggered from high density or high PE or both.</w:t>
      </w:r>
    </w:p>
    <w:p w:rsidR="00AE413C" w:rsidRDefault="00AE413C" w:rsidP="00C669BB">
      <w:pPr>
        <w:pStyle w:val="NormalWeb"/>
        <w:rPr>
          <w:color w:val="000000"/>
        </w:rPr>
      </w:pPr>
      <w:r>
        <w:rPr>
          <w:rFonts w:ascii="Arial" w:hAnsi="Arial" w:cs="Arial"/>
          <w:color w:val="000000"/>
        </w:rPr>
        <w:t>A sample of the log analysis plot is shown above. The average porosity from core and logs is only 0.018 (1.8%) and matrix permeability is only 0.05 m</w:t>
      </w:r>
      <w:r w:rsidR="00056E34">
        <w:rPr>
          <w:rFonts w:ascii="Arial" w:hAnsi="Arial" w:cs="Arial"/>
          <w:color w:val="000000"/>
        </w:rPr>
        <w:t>D</w:t>
      </w:r>
      <w:r>
        <w:rPr>
          <w:rFonts w:ascii="Arial" w:hAnsi="Arial" w:cs="Arial"/>
          <w:color w:val="000000"/>
        </w:rPr>
        <w:t>. However, solution porosity related to fractures can reach 17% and permeability can easily reach higher than several Darcies. Customized formulae were devised to estimate these properties from logs, based on core and test data. My colleague Bill Clow devised most of the methods used on this project.</w:t>
      </w:r>
    </w:p>
    <w:p w:rsidR="00AE413C" w:rsidRDefault="00AE413C" w:rsidP="00C669BB">
      <w:pPr>
        <w:pStyle w:val="NormalWeb"/>
        <w:rPr>
          <w:color w:val="000000"/>
        </w:rPr>
      </w:pPr>
      <w:r>
        <w:rPr>
          <w:rFonts w:ascii="Arial" w:hAnsi="Arial" w:cs="Arial"/>
          <w:color w:val="000000"/>
        </w:rPr>
        <w:t>Fracture porosity from resistivity micro scanner logs was also computed where available to help control the open hole work. A black and white resistivity image log below shows some of the fractures. Both high and low angle fractures co-exist.</w:t>
      </w:r>
    </w:p>
    <w:p w:rsidR="00AE413C" w:rsidRDefault="00AE413C" w:rsidP="00C669BB">
      <w:pPr>
        <w:pStyle w:val="NormalWeb"/>
        <w:jc w:val="center"/>
        <w:rPr>
          <w:color w:val="000000"/>
        </w:rPr>
      </w:pPr>
      <w:r>
        <w:rPr>
          <w:rFonts w:ascii="Arial" w:hAnsi="Arial" w:cs="Arial"/>
          <w:noProof/>
          <w:color w:val="000000"/>
        </w:rPr>
        <w:lastRenderedPageBreak/>
        <w:drawing>
          <wp:inline distT="0" distB="0" distL="0" distR="0" wp14:anchorId="438741CF" wp14:editId="36F47825">
            <wp:extent cx="4046855" cy="4504055"/>
            <wp:effectExtent l="0" t="0" r="0" b="0"/>
            <wp:docPr id="3" name="Picture 3" descr="C:\spec2000.net\text112fp\new-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spec2000.net\text112fp\new-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6855" cy="4504055"/>
                    </a:xfrm>
                    <a:prstGeom prst="rect">
                      <a:avLst/>
                    </a:prstGeom>
                    <a:noFill/>
                    <a:ln>
                      <a:noFill/>
                    </a:ln>
                  </pic:spPr>
                </pic:pic>
              </a:graphicData>
            </a:graphic>
          </wp:inline>
        </w:drawing>
      </w:r>
      <w:r>
        <w:rPr>
          <w:rFonts w:ascii="Arial" w:hAnsi="Arial" w:cs="Arial"/>
          <w:color w:val="000000"/>
        </w:rPr>
        <w:br/>
      </w:r>
      <w:r w:rsidR="00133ACF">
        <w:rPr>
          <w:rStyle w:val="Emphasis"/>
          <w:rFonts w:ascii="Arial" w:hAnsi="Arial" w:cs="Arial"/>
          <w:color w:val="000000"/>
        </w:rPr>
        <w:t xml:space="preserve">FIGURE </w:t>
      </w:r>
      <w:r w:rsidR="001F249A">
        <w:rPr>
          <w:rStyle w:val="Emphasis"/>
          <w:rFonts w:ascii="Arial" w:hAnsi="Arial" w:cs="Arial"/>
          <w:color w:val="000000"/>
        </w:rPr>
        <w:t>7</w:t>
      </w:r>
      <w:r w:rsidR="00133ACF">
        <w:rPr>
          <w:rStyle w:val="Emphasis"/>
          <w:rFonts w:ascii="Arial" w:hAnsi="Arial" w:cs="Arial"/>
          <w:color w:val="000000"/>
        </w:rPr>
        <w:t xml:space="preserve">: </w:t>
      </w:r>
      <w:r>
        <w:rPr>
          <w:rStyle w:val="Emphasis"/>
          <w:rFonts w:ascii="Arial" w:hAnsi="Arial" w:cs="Arial"/>
          <w:color w:val="000000"/>
        </w:rPr>
        <w:t>Resistivity micro scanner image in granite reservoir</w:t>
      </w:r>
    </w:p>
    <w:p w:rsidR="00AE413C" w:rsidRDefault="00AE413C" w:rsidP="00C669BB">
      <w:pPr>
        <w:pStyle w:val="NormalWeb"/>
        <w:rPr>
          <w:rFonts w:ascii="Arial" w:hAnsi="Arial" w:cs="Arial"/>
          <w:color w:val="000000"/>
        </w:rPr>
      </w:pPr>
      <w:r>
        <w:rPr>
          <w:rFonts w:ascii="Arial" w:hAnsi="Arial" w:cs="Arial"/>
          <w:color w:val="000000"/>
        </w:rPr>
        <w:t>It is clear that non-conventional reservoirs may need some extra effort</w:t>
      </w:r>
      <w:r w:rsidR="000E6897">
        <w:rPr>
          <w:rFonts w:ascii="Arial" w:hAnsi="Arial" w:cs="Arial"/>
          <w:color w:val="000000"/>
        </w:rPr>
        <w:t xml:space="preserve"> and</w:t>
      </w:r>
      <w:r>
        <w:rPr>
          <w:rFonts w:ascii="Arial" w:hAnsi="Arial" w:cs="Arial"/>
          <w:color w:val="000000"/>
        </w:rPr>
        <w:t xml:space="preserve"> customized presentations. The mineral properties need to be chosen carefully, but the mathematical models </w:t>
      </w:r>
      <w:r w:rsidR="000E6897">
        <w:rPr>
          <w:rFonts w:ascii="Arial" w:hAnsi="Arial" w:cs="Arial"/>
          <w:color w:val="000000"/>
        </w:rPr>
        <w:t>w</w:t>
      </w:r>
      <w:r>
        <w:rPr>
          <w:rFonts w:ascii="Arial" w:hAnsi="Arial" w:cs="Arial"/>
          <w:color w:val="000000"/>
        </w:rPr>
        <w:t>on't change</w:t>
      </w:r>
      <w:r w:rsidR="000E6897">
        <w:rPr>
          <w:rFonts w:ascii="Arial" w:hAnsi="Arial" w:cs="Arial"/>
          <w:color w:val="000000"/>
        </w:rPr>
        <w:t>.</w:t>
      </w:r>
      <w:r w:rsidR="00394BBB">
        <w:rPr>
          <w:rFonts w:ascii="Arial" w:hAnsi="Arial" w:cs="Arial"/>
          <w:color w:val="000000"/>
        </w:rPr>
        <w:br/>
      </w:r>
      <w:r w:rsidR="00394BBB">
        <w:rPr>
          <w:rFonts w:ascii="Arial" w:hAnsi="Arial" w:cs="Arial"/>
          <w:color w:val="000000"/>
        </w:rPr>
        <w:br/>
        <w:t>REFERENCE</w:t>
      </w:r>
      <w:r w:rsidR="00394BBB">
        <w:rPr>
          <w:rFonts w:ascii="Arial" w:hAnsi="Arial" w:cs="Arial"/>
          <w:color w:val="000000"/>
        </w:rPr>
        <w:br/>
        <w:t>Crain’s Petrophysical Handbook online 2022</w:t>
      </w:r>
    </w:p>
    <w:p w:rsidR="00AE413C" w:rsidRDefault="00AE413C" w:rsidP="00C669BB">
      <w:pPr>
        <w:pStyle w:val="NormalWeb"/>
        <w:rPr>
          <w:color w:val="000000"/>
        </w:rPr>
      </w:pPr>
      <w:r>
        <w:rPr>
          <w:color w:val="000000"/>
        </w:rPr>
        <w:br/>
      </w:r>
    </w:p>
    <w:p w:rsidR="00A60583" w:rsidRPr="005751AD" w:rsidRDefault="00A60583" w:rsidP="00C669BB"/>
    <w:sectPr w:rsidR="00A60583" w:rsidRPr="005751AD" w:rsidSect="00B7194C">
      <w:pgSz w:w="12240" w:h="15840"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25pt;height:10.3pt" o:bullet="t">
        <v:imagedata r:id="rId1" o:title="oildropsml"/>
      </v:shape>
    </w:pict>
  </w:numPicBullet>
  <w:abstractNum w:abstractNumId="0">
    <w:nsid w:val="02B33850"/>
    <w:multiLevelType w:val="multilevel"/>
    <w:tmpl w:val="2CB4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A24E51"/>
    <w:multiLevelType w:val="multilevel"/>
    <w:tmpl w:val="9882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36BB7"/>
    <w:multiLevelType w:val="multilevel"/>
    <w:tmpl w:val="3DC8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D7310D"/>
    <w:multiLevelType w:val="multilevel"/>
    <w:tmpl w:val="D3B8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767F61"/>
    <w:multiLevelType w:val="multilevel"/>
    <w:tmpl w:val="0338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AA7F9F"/>
    <w:multiLevelType w:val="multilevel"/>
    <w:tmpl w:val="9D98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8152E1"/>
    <w:multiLevelType w:val="multilevel"/>
    <w:tmpl w:val="9A64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EF1CA7"/>
    <w:multiLevelType w:val="multilevel"/>
    <w:tmpl w:val="EBAE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CEE0760"/>
    <w:multiLevelType w:val="multilevel"/>
    <w:tmpl w:val="2C78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2320CD"/>
    <w:multiLevelType w:val="multilevel"/>
    <w:tmpl w:val="0C60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DE677C"/>
    <w:multiLevelType w:val="multilevel"/>
    <w:tmpl w:val="7F40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B61777"/>
    <w:multiLevelType w:val="multilevel"/>
    <w:tmpl w:val="E82A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EC189C"/>
    <w:multiLevelType w:val="multilevel"/>
    <w:tmpl w:val="ADBA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E5786A"/>
    <w:multiLevelType w:val="multilevel"/>
    <w:tmpl w:val="811E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751DA8"/>
    <w:multiLevelType w:val="multilevel"/>
    <w:tmpl w:val="CD561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82667F"/>
    <w:multiLevelType w:val="multilevel"/>
    <w:tmpl w:val="B038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D63C25"/>
    <w:multiLevelType w:val="multilevel"/>
    <w:tmpl w:val="2AD2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0D4B7E"/>
    <w:multiLevelType w:val="multilevel"/>
    <w:tmpl w:val="EB0E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AF3E00"/>
    <w:multiLevelType w:val="multilevel"/>
    <w:tmpl w:val="A2B8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134DDC"/>
    <w:multiLevelType w:val="multilevel"/>
    <w:tmpl w:val="5282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B51E98"/>
    <w:multiLevelType w:val="multilevel"/>
    <w:tmpl w:val="E174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3C2574"/>
    <w:multiLevelType w:val="multilevel"/>
    <w:tmpl w:val="2758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413928"/>
    <w:multiLevelType w:val="multilevel"/>
    <w:tmpl w:val="F7CE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46072E"/>
    <w:multiLevelType w:val="multilevel"/>
    <w:tmpl w:val="37CA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290FE0"/>
    <w:multiLevelType w:val="multilevel"/>
    <w:tmpl w:val="8196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052F8A"/>
    <w:multiLevelType w:val="multilevel"/>
    <w:tmpl w:val="18C2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C73625"/>
    <w:multiLevelType w:val="multilevel"/>
    <w:tmpl w:val="D936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0569D2"/>
    <w:multiLevelType w:val="multilevel"/>
    <w:tmpl w:val="DB08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C10F78"/>
    <w:multiLevelType w:val="multilevel"/>
    <w:tmpl w:val="68A4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9"/>
  </w:num>
  <w:num w:numId="3">
    <w:abstractNumId w:val="8"/>
  </w:num>
  <w:num w:numId="4">
    <w:abstractNumId w:val="21"/>
  </w:num>
  <w:num w:numId="5">
    <w:abstractNumId w:val="28"/>
  </w:num>
  <w:num w:numId="6">
    <w:abstractNumId w:val="24"/>
  </w:num>
  <w:num w:numId="7">
    <w:abstractNumId w:val="18"/>
  </w:num>
  <w:num w:numId="8">
    <w:abstractNumId w:val="23"/>
  </w:num>
  <w:num w:numId="9">
    <w:abstractNumId w:val="0"/>
  </w:num>
  <w:num w:numId="10">
    <w:abstractNumId w:val="16"/>
  </w:num>
  <w:num w:numId="11">
    <w:abstractNumId w:val="5"/>
  </w:num>
  <w:num w:numId="12">
    <w:abstractNumId w:val="1"/>
  </w:num>
  <w:num w:numId="13">
    <w:abstractNumId w:val="26"/>
  </w:num>
  <w:num w:numId="14">
    <w:abstractNumId w:val="20"/>
  </w:num>
  <w:num w:numId="15">
    <w:abstractNumId w:val="15"/>
  </w:num>
  <w:num w:numId="16">
    <w:abstractNumId w:val="6"/>
  </w:num>
  <w:num w:numId="17">
    <w:abstractNumId w:val="11"/>
  </w:num>
  <w:num w:numId="18">
    <w:abstractNumId w:val="10"/>
  </w:num>
  <w:num w:numId="19">
    <w:abstractNumId w:val="3"/>
  </w:num>
  <w:num w:numId="20">
    <w:abstractNumId w:val="22"/>
  </w:num>
  <w:num w:numId="21">
    <w:abstractNumId w:val="25"/>
  </w:num>
  <w:num w:numId="22">
    <w:abstractNumId w:val="19"/>
  </w:num>
  <w:num w:numId="23">
    <w:abstractNumId w:val="4"/>
  </w:num>
  <w:num w:numId="24">
    <w:abstractNumId w:val="13"/>
  </w:num>
  <w:num w:numId="25">
    <w:abstractNumId w:val="27"/>
  </w:num>
  <w:num w:numId="26">
    <w:abstractNumId w:val="12"/>
  </w:num>
  <w:num w:numId="27">
    <w:abstractNumId w:val="2"/>
  </w:num>
  <w:num w:numId="28">
    <w:abstractNumId w:val="14"/>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isplayBackgroundShape/>
  <w:proofState w:spelling="clean" w:grammar="clean"/>
  <w:documentProtection w:edit="readOnly" w:enforcement="1" w:cryptProviderType="rsaAES" w:cryptAlgorithmClass="hash" w:cryptAlgorithmType="typeAny" w:cryptAlgorithmSid="14" w:cryptSpinCount="100000" w:hash="M57NZVO+lnZuMfzV6HwifxcFc+5rGBV29Laj75P+/Q2Afl6r4HdSo/jGfVaUnnm3ZSdhcFhZ7dioAw5IKqNncQ==" w:salt="s2SNuxLf5RUsbGkI48u4UA=="/>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5FB"/>
    <w:rsid w:val="0000072C"/>
    <w:rsid w:val="000231AC"/>
    <w:rsid w:val="00026D7F"/>
    <w:rsid w:val="00056E34"/>
    <w:rsid w:val="00082D65"/>
    <w:rsid w:val="00086470"/>
    <w:rsid w:val="000B4F18"/>
    <w:rsid w:val="000C3B86"/>
    <w:rsid w:val="000D5785"/>
    <w:rsid w:val="000E21A5"/>
    <w:rsid w:val="000E6897"/>
    <w:rsid w:val="000F2E06"/>
    <w:rsid w:val="000F38AE"/>
    <w:rsid w:val="0010206F"/>
    <w:rsid w:val="00120984"/>
    <w:rsid w:val="00125030"/>
    <w:rsid w:val="00130A47"/>
    <w:rsid w:val="00130D40"/>
    <w:rsid w:val="00131EA1"/>
    <w:rsid w:val="00133ACF"/>
    <w:rsid w:val="00140C6E"/>
    <w:rsid w:val="00184F3B"/>
    <w:rsid w:val="00195181"/>
    <w:rsid w:val="001A0063"/>
    <w:rsid w:val="001A54D0"/>
    <w:rsid w:val="001B0C52"/>
    <w:rsid w:val="001C08D3"/>
    <w:rsid w:val="001C2BFC"/>
    <w:rsid w:val="001E27DD"/>
    <w:rsid w:val="001F249A"/>
    <w:rsid w:val="001F59E2"/>
    <w:rsid w:val="002037A8"/>
    <w:rsid w:val="00237982"/>
    <w:rsid w:val="00256435"/>
    <w:rsid w:val="0028077C"/>
    <w:rsid w:val="00286BE5"/>
    <w:rsid w:val="002D04BF"/>
    <w:rsid w:val="00315A2D"/>
    <w:rsid w:val="00330F09"/>
    <w:rsid w:val="0034416B"/>
    <w:rsid w:val="00355768"/>
    <w:rsid w:val="00362628"/>
    <w:rsid w:val="00367C40"/>
    <w:rsid w:val="00391F28"/>
    <w:rsid w:val="00394BBB"/>
    <w:rsid w:val="00395B64"/>
    <w:rsid w:val="003B43AB"/>
    <w:rsid w:val="003C023D"/>
    <w:rsid w:val="003D3590"/>
    <w:rsid w:val="003D7F27"/>
    <w:rsid w:val="003E05BC"/>
    <w:rsid w:val="00434176"/>
    <w:rsid w:val="004411A1"/>
    <w:rsid w:val="00447A16"/>
    <w:rsid w:val="004515FB"/>
    <w:rsid w:val="0045795D"/>
    <w:rsid w:val="00457A62"/>
    <w:rsid w:val="004A08A8"/>
    <w:rsid w:val="004A3B4C"/>
    <w:rsid w:val="004B02C8"/>
    <w:rsid w:val="004B03A3"/>
    <w:rsid w:val="004B3AF1"/>
    <w:rsid w:val="004E63C5"/>
    <w:rsid w:val="004E7429"/>
    <w:rsid w:val="004F5C30"/>
    <w:rsid w:val="00510D04"/>
    <w:rsid w:val="00535167"/>
    <w:rsid w:val="00537D93"/>
    <w:rsid w:val="00540A9C"/>
    <w:rsid w:val="00545ED9"/>
    <w:rsid w:val="0056444A"/>
    <w:rsid w:val="00564D1C"/>
    <w:rsid w:val="005751AD"/>
    <w:rsid w:val="005B67FD"/>
    <w:rsid w:val="005B7E11"/>
    <w:rsid w:val="005E64C9"/>
    <w:rsid w:val="005F731D"/>
    <w:rsid w:val="006550A6"/>
    <w:rsid w:val="00671F55"/>
    <w:rsid w:val="00677ED8"/>
    <w:rsid w:val="006B1F13"/>
    <w:rsid w:val="006C7512"/>
    <w:rsid w:val="006D7388"/>
    <w:rsid w:val="006F0877"/>
    <w:rsid w:val="006F2A0C"/>
    <w:rsid w:val="007037E0"/>
    <w:rsid w:val="007118AF"/>
    <w:rsid w:val="0074490E"/>
    <w:rsid w:val="00755BCE"/>
    <w:rsid w:val="0079044E"/>
    <w:rsid w:val="007A17A0"/>
    <w:rsid w:val="007A6E03"/>
    <w:rsid w:val="007D24B2"/>
    <w:rsid w:val="007E2B7F"/>
    <w:rsid w:val="007E60C7"/>
    <w:rsid w:val="007F67BB"/>
    <w:rsid w:val="008005CC"/>
    <w:rsid w:val="00800622"/>
    <w:rsid w:val="00845F4D"/>
    <w:rsid w:val="00855687"/>
    <w:rsid w:val="00861472"/>
    <w:rsid w:val="008A751E"/>
    <w:rsid w:val="008D560A"/>
    <w:rsid w:val="0091130F"/>
    <w:rsid w:val="00941022"/>
    <w:rsid w:val="00954C86"/>
    <w:rsid w:val="0099220A"/>
    <w:rsid w:val="00996F43"/>
    <w:rsid w:val="00997B50"/>
    <w:rsid w:val="009A57C4"/>
    <w:rsid w:val="009B0B74"/>
    <w:rsid w:val="009B2A9E"/>
    <w:rsid w:val="009B639D"/>
    <w:rsid w:val="009D27F2"/>
    <w:rsid w:val="009F70BC"/>
    <w:rsid w:val="00A01802"/>
    <w:rsid w:val="00A055A4"/>
    <w:rsid w:val="00A31D85"/>
    <w:rsid w:val="00A4539F"/>
    <w:rsid w:val="00A52E44"/>
    <w:rsid w:val="00A60583"/>
    <w:rsid w:val="00A72B2D"/>
    <w:rsid w:val="00AB6383"/>
    <w:rsid w:val="00AE413C"/>
    <w:rsid w:val="00AF0E71"/>
    <w:rsid w:val="00B0102D"/>
    <w:rsid w:val="00B16F2E"/>
    <w:rsid w:val="00B178C5"/>
    <w:rsid w:val="00B2577D"/>
    <w:rsid w:val="00B51637"/>
    <w:rsid w:val="00B526D6"/>
    <w:rsid w:val="00B7194C"/>
    <w:rsid w:val="00B949E0"/>
    <w:rsid w:val="00B96E32"/>
    <w:rsid w:val="00BA37A4"/>
    <w:rsid w:val="00BA5C43"/>
    <w:rsid w:val="00BC29D8"/>
    <w:rsid w:val="00BD3D0B"/>
    <w:rsid w:val="00BD59E8"/>
    <w:rsid w:val="00BD6FCA"/>
    <w:rsid w:val="00C02949"/>
    <w:rsid w:val="00C40BEC"/>
    <w:rsid w:val="00C669BB"/>
    <w:rsid w:val="00C6715E"/>
    <w:rsid w:val="00CC149A"/>
    <w:rsid w:val="00CC6FA3"/>
    <w:rsid w:val="00CE3BD6"/>
    <w:rsid w:val="00CE51F5"/>
    <w:rsid w:val="00CF0EB2"/>
    <w:rsid w:val="00D3477E"/>
    <w:rsid w:val="00D4544D"/>
    <w:rsid w:val="00D6235F"/>
    <w:rsid w:val="00D67740"/>
    <w:rsid w:val="00D707CD"/>
    <w:rsid w:val="00D90A4A"/>
    <w:rsid w:val="00DA50FB"/>
    <w:rsid w:val="00DE5D13"/>
    <w:rsid w:val="00DF1BB6"/>
    <w:rsid w:val="00E03885"/>
    <w:rsid w:val="00E13499"/>
    <w:rsid w:val="00E17B3E"/>
    <w:rsid w:val="00E24653"/>
    <w:rsid w:val="00E42859"/>
    <w:rsid w:val="00E51199"/>
    <w:rsid w:val="00E624A9"/>
    <w:rsid w:val="00E777E6"/>
    <w:rsid w:val="00E82DCD"/>
    <w:rsid w:val="00E87E56"/>
    <w:rsid w:val="00E9665E"/>
    <w:rsid w:val="00EA7ABC"/>
    <w:rsid w:val="00EC42DF"/>
    <w:rsid w:val="00ED3D9F"/>
    <w:rsid w:val="00ED58B4"/>
    <w:rsid w:val="00EE1115"/>
    <w:rsid w:val="00EE1303"/>
    <w:rsid w:val="00EF336D"/>
    <w:rsid w:val="00F5419B"/>
    <w:rsid w:val="00F57712"/>
    <w:rsid w:val="00F60380"/>
    <w:rsid w:val="00F775A6"/>
    <w:rsid w:val="00FB217D"/>
    <w:rsid w:val="00FB322D"/>
    <w:rsid w:val="00FC73B7"/>
    <w:rsid w:val="00FE712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5D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44E"/>
    <w:rPr>
      <w:rFonts w:eastAsiaTheme="minorEastAsia"/>
      <w:lang w:eastAsia="en-CA"/>
    </w:rPr>
  </w:style>
  <w:style w:type="paragraph" w:styleId="Heading2">
    <w:name w:val="heading 2"/>
    <w:basedOn w:val="Normal"/>
    <w:link w:val="Heading2Char"/>
    <w:uiPriority w:val="9"/>
    <w:qFormat/>
    <w:rsid w:val="006F08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624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24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2E06"/>
    <w:rPr>
      <w:color w:val="0000FF" w:themeColor="hyperlink"/>
      <w:u w:val="single"/>
    </w:rPr>
  </w:style>
  <w:style w:type="paragraph" w:styleId="PlainText">
    <w:name w:val="Plain Text"/>
    <w:basedOn w:val="Normal"/>
    <w:link w:val="PlainTextChar"/>
    <w:uiPriority w:val="99"/>
    <w:unhideWhenUsed/>
    <w:rsid w:val="004E742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4E7429"/>
    <w:rPr>
      <w:rFonts w:ascii="Calibri" w:hAnsi="Calibri"/>
      <w:szCs w:val="21"/>
    </w:rPr>
  </w:style>
  <w:style w:type="paragraph" w:styleId="BalloonText">
    <w:name w:val="Balloon Text"/>
    <w:basedOn w:val="Normal"/>
    <w:link w:val="BalloonTextChar"/>
    <w:uiPriority w:val="99"/>
    <w:semiHidden/>
    <w:unhideWhenUsed/>
    <w:rsid w:val="00790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44E"/>
    <w:rPr>
      <w:rFonts w:ascii="Tahoma" w:eastAsiaTheme="minorEastAsia" w:hAnsi="Tahoma" w:cs="Tahoma"/>
      <w:sz w:val="16"/>
      <w:szCs w:val="16"/>
      <w:lang w:eastAsia="en-CA"/>
    </w:rPr>
  </w:style>
  <w:style w:type="character" w:customStyle="1" w:styleId="Heading2Char">
    <w:name w:val="Heading 2 Char"/>
    <w:basedOn w:val="DefaultParagraphFont"/>
    <w:link w:val="Heading2"/>
    <w:uiPriority w:val="9"/>
    <w:rsid w:val="006F0877"/>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6F08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6F0877"/>
  </w:style>
  <w:style w:type="character" w:customStyle="1" w:styleId="Heading3Char">
    <w:name w:val="Heading 3 Char"/>
    <w:basedOn w:val="DefaultParagraphFont"/>
    <w:link w:val="Heading3"/>
    <w:uiPriority w:val="9"/>
    <w:semiHidden/>
    <w:rsid w:val="00E624A9"/>
    <w:rPr>
      <w:rFonts w:asciiTheme="majorHAnsi" w:eastAsiaTheme="majorEastAsia" w:hAnsiTheme="majorHAnsi" w:cstheme="majorBidi"/>
      <w:b/>
      <w:bCs/>
      <w:color w:val="4F81BD" w:themeColor="accent1"/>
      <w:lang w:eastAsia="en-CA"/>
    </w:rPr>
  </w:style>
  <w:style w:type="character" w:customStyle="1" w:styleId="Heading4Char">
    <w:name w:val="Heading 4 Char"/>
    <w:basedOn w:val="DefaultParagraphFont"/>
    <w:link w:val="Heading4"/>
    <w:uiPriority w:val="9"/>
    <w:semiHidden/>
    <w:rsid w:val="00E624A9"/>
    <w:rPr>
      <w:rFonts w:asciiTheme="majorHAnsi" w:eastAsiaTheme="majorEastAsia" w:hAnsiTheme="majorHAnsi" w:cstheme="majorBidi"/>
      <w:b/>
      <w:bCs/>
      <w:i/>
      <w:iCs/>
      <w:color w:val="4F81BD" w:themeColor="accent1"/>
      <w:lang w:eastAsia="en-CA"/>
    </w:rPr>
  </w:style>
  <w:style w:type="character" w:styleId="Emphasis">
    <w:name w:val="Emphasis"/>
    <w:basedOn w:val="DefaultParagraphFont"/>
    <w:uiPriority w:val="20"/>
    <w:qFormat/>
    <w:rsid w:val="00AE413C"/>
    <w:rPr>
      <w:i/>
      <w:iCs/>
    </w:rPr>
  </w:style>
  <w:style w:type="paragraph" w:styleId="NormalIndent">
    <w:name w:val="Normal Indent"/>
    <w:basedOn w:val="Normal"/>
    <w:uiPriority w:val="99"/>
    <w:unhideWhenUsed/>
    <w:rsid w:val="00AE413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yle1">
    <w:name w:val="Style1"/>
    <w:basedOn w:val="TableNormal"/>
    <w:uiPriority w:val="99"/>
    <w:rsid w:val="006B1F13"/>
    <w:pPr>
      <w:spacing w:after="0" w:line="240" w:lineRule="auto"/>
    </w:pPr>
    <w:tblPr>
      <w:tblInd w:w="0" w:type="dxa"/>
      <w:tblCellMar>
        <w:top w:w="0" w:type="dxa"/>
        <w:left w:w="108" w:type="dxa"/>
        <w:bottom w:w="0" w:type="dxa"/>
        <w:right w:w="108" w:type="dxa"/>
      </w:tblCellMar>
    </w:tblPr>
    <w:tcPr>
      <w:shd w:val="clear" w:color="auto" w:fill="auto"/>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44E"/>
    <w:rPr>
      <w:rFonts w:eastAsiaTheme="minorEastAsia"/>
      <w:lang w:eastAsia="en-CA"/>
    </w:rPr>
  </w:style>
  <w:style w:type="paragraph" w:styleId="Heading2">
    <w:name w:val="heading 2"/>
    <w:basedOn w:val="Normal"/>
    <w:link w:val="Heading2Char"/>
    <w:uiPriority w:val="9"/>
    <w:qFormat/>
    <w:rsid w:val="006F08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624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24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2E06"/>
    <w:rPr>
      <w:color w:val="0000FF" w:themeColor="hyperlink"/>
      <w:u w:val="single"/>
    </w:rPr>
  </w:style>
  <w:style w:type="paragraph" w:styleId="PlainText">
    <w:name w:val="Plain Text"/>
    <w:basedOn w:val="Normal"/>
    <w:link w:val="PlainTextChar"/>
    <w:uiPriority w:val="99"/>
    <w:unhideWhenUsed/>
    <w:rsid w:val="004E742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4E7429"/>
    <w:rPr>
      <w:rFonts w:ascii="Calibri" w:hAnsi="Calibri"/>
      <w:szCs w:val="21"/>
    </w:rPr>
  </w:style>
  <w:style w:type="paragraph" w:styleId="BalloonText">
    <w:name w:val="Balloon Text"/>
    <w:basedOn w:val="Normal"/>
    <w:link w:val="BalloonTextChar"/>
    <w:uiPriority w:val="99"/>
    <w:semiHidden/>
    <w:unhideWhenUsed/>
    <w:rsid w:val="00790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44E"/>
    <w:rPr>
      <w:rFonts w:ascii="Tahoma" w:eastAsiaTheme="minorEastAsia" w:hAnsi="Tahoma" w:cs="Tahoma"/>
      <w:sz w:val="16"/>
      <w:szCs w:val="16"/>
      <w:lang w:eastAsia="en-CA"/>
    </w:rPr>
  </w:style>
  <w:style w:type="character" w:customStyle="1" w:styleId="Heading2Char">
    <w:name w:val="Heading 2 Char"/>
    <w:basedOn w:val="DefaultParagraphFont"/>
    <w:link w:val="Heading2"/>
    <w:uiPriority w:val="9"/>
    <w:rsid w:val="006F0877"/>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6F08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6F0877"/>
  </w:style>
  <w:style w:type="character" w:customStyle="1" w:styleId="Heading3Char">
    <w:name w:val="Heading 3 Char"/>
    <w:basedOn w:val="DefaultParagraphFont"/>
    <w:link w:val="Heading3"/>
    <w:uiPriority w:val="9"/>
    <w:semiHidden/>
    <w:rsid w:val="00E624A9"/>
    <w:rPr>
      <w:rFonts w:asciiTheme="majorHAnsi" w:eastAsiaTheme="majorEastAsia" w:hAnsiTheme="majorHAnsi" w:cstheme="majorBidi"/>
      <w:b/>
      <w:bCs/>
      <w:color w:val="4F81BD" w:themeColor="accent1"/>
      <w:lang w:eastAsia="en-CA"/>
    </w:rPr>
  </w:style>
  <w:style w:type="character" w:customStyle="1" w:styleId="Heading4Char">
    <w:name w:val="Heading 4 Char"/>
    <w:basedOn w:val="DefaultParagraphFont"/>
    <w:link w:val="Heading4"/>
    <w:uiPriority w:val="9"/>
    <w:semiHidden/>
    <w:rsid w:val="00E624A9"/>
    <w:rPr>
      <w:rFonts w:asciiTheme="majorHAnsi" w:eastAsiaTheme="majorEastAsia" w:hAnsiTheme="majorHAnsi" w:cstheme="majorBidi"/>
      <w:b/>
      <w:bCs/>
      <w:i/>
      <w:iCs/>
      <w:color w:val="4F81BD" w:themeColor="accent1"/>
      <w:lang w:eastAsia="en-CA"/>
    </w:rPr>
  </w:style>
  <w:style w:type="character" w:styleId="Emphasis">
    <w:name w:val="Emphasis"/>
    <w:basedOn w:val="DefaultParagraphFont"/>
    <w:uiPriority w:val="20"/>
    <w:qFormat/>
    <w:rsid w:val="00AE413C"/>
    <w:rPr>
      <w:i/>
      <w:iCs/>
    </w:rPr>
  </w:style>
  <w:style w:type="paragraph" w:styleId="NormalIndent">
    <w:name w:val="Normal Indent"/>
    <w:basedOn w:val="Normal"/>
    <w:uiPriority w:val="99"/>
    <w:unhideWhenUsed/>
    <w:rsid w:val="00AE413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yle1">
    <w:name w:val="Style1"/>
    <w:basedOn w:val="TableNormal"/>
    <w:uiPriority w:val="99"/>
    <w:rsid w:val="006B1F13"/>
    <w:pPr>
      <w:spacing w:after="0" w:line="240" w:lineRule="auto"/>
    </w:pPr>
    <w:tblPr>
      <w:tblInd w:w="0" w:type="dxa"/>
      <w:tblCellMar>
        <w:top w:w="0" w:type="dxa"/>
        <w:left w:w="108" w:type="dxa"/>
        <w:bottom w:w="0" w:type="dxa"/>
        <w:right w:w="108"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3449">
      <w:bodyDiv w:val="1"/>
      <w:marLeft w:val="0"/>
      <w:marRight w:val="0"/>
      <w:marTop w:val="0"/>
      <w:marBottom w:val="0"/>
      <w:divBdr>
        <w:top w:val="none" w:sz="0" w:space="0" w:color="auto"/>
        <w:left w:val="none" w:sz="0" w:space="0" w:color="auto"/>
        <w:bottom w:val="none" w:sz="0" w:space="0" w:color="auto"/>
        <w:right w:val="none" w:sz="0" w:space="0" w:color="auto"/>
      </w:divBdr>
    </w:div>
    <w:div w:id="209264203">
      <w:bodyDiv w:val="1"/>
      <w:marLeft w:val="0"/>
      <w:marRight w:val="0"/>
      <w:marTop w:val="0"/>
      <w:marBottom w:val="0"/>
      <w:divBdr>
        <w:top w:val="none" w:sz="0" w:space="0" w:color="auto"/>
        <w:left w:val="none" w:sz="0" w:space="0" w:color="auto"/>
        <w:bottom w:val="none" w:sz="0" w:space="0" w:color="auto"/>
        <w:right w:val="none" w:sz="0" w:space="0" w:color="auto"/>
      </w:divBdr>
      <w:divsChild>
        <w:div w:id="799613337">
          <w:marLeft w:val="4650"/>
          <w:marRight w:val="0"/>
          <w:marTop w:val="0"/>
          <w:marBottom w:val="0"/>
          <w:divBdr>
            <w:top w:val="none" w:sz="0" w:space="0" w:color="auto"/>
            <w:left w:val="none" w:sz="0" w:space="0" w:color="auto"/>
            <w:bottom w:val="none" w:sz="0" w:space="0" w:color="auto"/>
            <w:right w:val="none" w:sz="0" w:space="0" w:color="auto"/>
          </w:divBdr>
          <w:divsChild>
            <w:div w:id="229315109">
              <w:marLeft w:val="0"/>
              <w:marRight w:val="0"/>
              <w:marTop w:val="0"/>
              <w:marBottom w:val="0"/>
              <w:divBdr>
                <w:top w:val="none" w:sz="0" w:space="0" w:color="auto"/>
                <w:left w:val="none" w:sz="0" w:space="0" w:color="auto"/>
                <w:bottom w:val="none" w:sz="0" w:space="0" w:color="auto"/>
                <w:right w:val="none" w:sz="0" w:space="0" w:color="auto"/>
              </w:divBdr>
              <w:divsChild>
                <w:div w:id="1457135965">
                  <w:marLeft w:val="0"/>
                  <w:marRight w:val="0"/>
                  <w:marTop w:val="0"/>
                  <w:marBottom w:val="0"/>
                  <w:divBdr>
                    <w:top w:val="none" w:sz="0" w:space="0" w:color="auto"/>
                    <w:left w:val="none" w:sz="0" w:space="0" w:color="auto"/>
                    <w:bottom w:val="none" w:sz="0" w:space="0" w:color="auto"/>
                    <w:right w:val="none" w:sz="0" w:space="0" w:color="auto"/>
                  </w:divBdr>
                  <w:divsChild>
                    <w:div w:id="78673163">
                      <w:marLeft w:val="0"/>
                      <w:marRight w:val="0"/>
                      <w:marTop w:val="0"/>
                      <w:marBottom w:val="0"/>
                      <w:divBdr>
                        <w:top w:val="none" w:sz="0" w:space="0" w:color="auto"/>
                        <w:left w:val="none" w:sz="0" w:space="0" w:color="auto"/>
                        <w:bottom w:val="none" w:sz="0" w:space="0" w:color="auto"/>
                        <w:right w:val="none" w:sz="0" w:space="0" w:color="auto"/>
                      </w:divBdr>
                      <w:divsChild>
                        <w:div w:id="499350379">
                          <w:marLeft w:val="0"/>
                          <w:marRight w:val="0"/>
                          <w:marTop w:val="0"/>
                          <w:marBottom w:val="0"/>
                          <w:divBdr>
                            <w:top w:val="none" w:sz="0" w:space="0" w:color="auto"/>
                            <w:left w:val="none" w:sz="0" w:space="0" w:color="auto"/>
                            <w:bottom w:val="none" w:sz="0" w:space="0" w:color="auto"/>
                            <w:right w:val="none" w:sz="0" w:space="0" w:color="auto"/>
                          </w:divBdr>
                          <w:divsChild>
                            <w:div w:id="160321394">
                              <w:marLeft w:val="0"/>
                              <w:marRight w:val="0"/>
                              <w:marTop w:val="0"/>
                              <w:marBottom w:val="0"/>
                              <w:divBdr>
                                <w:top w:val="none" w:sz="0" w:space="0" w:color="auto"/>
                                <w:left w:val="none" w:sz="0" w:space="0" w:color="auto"/>
                                <w:bottom w:val="none" w:sz="0" w:space="0" w:color="auto"/>
                                <w:right w:val="none" w:sz="0" w:space="0" w:color="auto"/>
                              </w:divBdr>
                              <w:divsChild>
                                <w:div w:id="1680546645">
                                  <w:marLeft w:val="0"/>
                                  <w:marRight w:val="0"/>
                                  <w:marTop w:val="225"/>
                                  <w:marBottom w:val="225"/>
                                  <w:divBdr>
                                    <w:top w:val="none" w:sz="0" w:space="0" w:color="auto"/>
                                    <w:left w:val="none" w:sz="0" w:space="0" w:color="auto"/>
                                    <w:bottom w:val="none" w:sz="0" w:space="0" w:color="auto"/>
                                    <w:right w:val="none" w:sz="0" w:space="0" w:color="auto"/>
                                  </w:divBdr>
                                </w:div>
                              </w:divsChild>
                            </w:div>
                            <w:div w:id="15442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998370">
      <w:bodyDiv w:val="1"/>
      <w:marLeft w:val="0"/>
      <w:marRight w:val="0"/>
      <w:marTop w:val="0"/>
      <w:marBottom w:val="0"/>
      <w:divBdr>
        <w:top w:val="none" w:sz="0" w:space="0" w:color="auto"/>
        <w:left w:val="none" w:sz="0" w:space="0" w:color="auto"/>
        <w:bottom w:val="none" w:sz="0" w:space="0" w:color="auto"/>
        <w:right w:val="none" w:sz="0" w:space="0" w:color="auto"/>
      </w:divBdr>
    </w:div>
    <w:div w:id="1218122766">
      <w:bodyDiv w:val="1"/>
      <w:marLeft w:val="0"/>
      <w:marRight w:val="0"/>
      <w:marTop w:val="0"/>
      <w:marBottom w:val="0"/>
      <w:divBdr>
        <w:top w:val="none" w:sz="0" w:space="0" w:color="auto"/>
        <w:left w:val="none" w:sz="0" w:space="0" w:color="auto"/>
        <w:bottom w:val="none" w:sz="0" w:space="0" w:color="auto"/>
        <w:right w:val="none" w:sz="0" w:space="0" w:color="auto"/>
      </w:divBdr>
      <w:divsChild>
        <w:div w:id="1370184305">
          <w:marLeft w:val="4650"/>
          <w:marRight w:val="0"/>
          <w:marTop w:val="0"/>
          <w:marBottom w:val="0"/>
          <w:divBdr>
            <w:top w:val="none" w:sz="0" w:space="0" w:color="auto"/>
            <w:left w:val="none" w:sz="0" w:space="0" w:color="auto"/>
            <w:bottom w:val="none" w:sz="0" w:space="0" w:color="auto"/>
            <w:right w:val="none" w:sz="0" w:space="0" w:color="auto"/>
          </w:divBdr>
          <w:divsChild>
            <w:div w:id="1160077488">
              <w:marLeft w:val="0"/>
              <w:marRight w:val="0"/>
              <w:marTop w:val="0"/>
              <w:marBottom w:val="0"/>
              <w:divBdr>
                <w:top w:val="none" w:sz="0" w:space="0" w:color="auto"/>
                <w:left w:val="none" w:sz="0" w:space="0" w:color="auto"/>
                <w:bottom w:val="none" w:sz="0" w:space="0" w:color="auto"/>
                <w:right w:val="none" w:sz="0" w:space="0" w:color="auto"/>
              </w:divBdr>
              <w:divsChild>
                <w:div w:id="1398551954">
                  <w:marLeft w:val="0"/>
                  <w:marRight w:val="0"/>
                  <w:marTop w:val="0"/>
                  <w:marBottom w:val="0"/>
                  <w:divBdr>
                    <w:top w:val="none" w:sz="0" w:space="0" w:color="auto"/>
                    <w:left w:val="none" w:sz="0" w:space="0" w:color="auto"/>
                    <w:bottom w:val="none" w:sz="0" w:space="0" w:color="auto"/>
                    <w:right w:val="none" w:sz="0" w:space="0" w:color="auto"/>
                  </w:divBdr>
                  <w:divsChild>
                    <w:div w:id="988748053">
                      <w:marLeft w:val="0"/>
                      <w:marRight w:val="0"/>
                      <w:marTop w:val="0"/>
                      <w:marBottom w:val="0"/>
                      <w:divBdr>
                        <w:top w:val="none" w:sz="0" w:space="0" w:color="auto"/>
                        <w:left w:val="none" w:sz="0" w:space="0" w:color="auto"/>
                        <w:bottom w:val="none" w:sz="0" w:space="0" w:color="auto"/>
                        <w:right w:val="none" w:sz="0" w:space="0" w:color="auto"/>
                      </w:divBdr>
                      <w:divsChild>
                        <w:div w:id="1947350443">
                          <w:marLeft w:val="0"/>
                          <w:marRight w:val="0"/>
                          <w:marTop w:val="0"/>
                          <w:marBottom w:val="0"/>
                          <w:divBdr>
                            <w:top w:val="none" w:sz="0" w:space="0" w:color="auto"/>
                            <w:left w:val="none" w:sz="0" w:space="0" w:color="auto"/>
                            <w:bottom w:val="none" w:sz="0" w:space="0" w:color="auto"/>
                            <w:right w:val="none" w:sz="0" w:space="0" w:color="auto"/>
                          </w:divBdr>
                          <w:divsChild>
                            <w:div w:id="631982320">
                              <w:marLeft w:val="0"/>
                              <w:marRight w:val="0"/>
                              <w:marTop w:val="0"/>
                              <w:marBottom w:val="0"/>
                              <w:divBdr>
                                <w:top w:val="none" w:sz="0" w:space="0" w:color="auto"/>
                                <w:left w:val="none" w:sz="0" w:space="0" w:color="auto"/>
                                <w:bottom w:val="none" w:sz="0" w:space="0" w:color="auto"/>
                                <w:right w:val="none" w:sz="0" w:space="0" w:color="auto"/>
                              </w:divBdr>
                              <w:divsChild>
                                <w:div w:id="1854563669">
                                  <w:marLeft w:val="0"/>
                                  <w:marRight w:val="0"/>
                                  <w:marTop w:val="225"/>
                                  <w:marBottom w:val="225"/>
                                  <w:divBdr>
                                    <w:top w:val="none" w:sz="0" w:space="0" w:color="auto"/>
                                    <w:left w:val="none" w:sz="0" w:space="0" w:color="auto"/>
                                    <w:bottom w:val="none" w:sz="0" w:space="0" w:color="auto"/>
                                    <w:right w:val="none" w:sz="0" w:space="0" w:color="auto"/>
                                  </w:divBdr>
                                </w:div>
                              </w:divsChild>
                            </w:div>
                            <w:div w:id="1087188705">
                              <w:marLeft w:val="0"/>
                              <w:marRight w:val="0"/>
                              <w:marTop w:val="0"/>
                              <w:marBottom w:val="0"/>
                              <w:divBdr>
                                <w:top w:val="none" w:sz="0" w:space="0" w:color="auto"/>
                                <w:left w:val="none" w:sz="0" w:space="0" w:color="auto"/>
                                <w:bottom w:val="none" w:sz="0" w:space="0" w:color="auto"/>
                                <w:right w:val="none" w:sz="0" w:space="0" w:color="auto"/>
                              </w:divBdr>
                            </w:div>
                          </w:divsChild>
                        </w:div>
                        <w:div w:id="2109811138">
                          <w:marLeft w:val="0"/>
                          <w:marRight w:val="0"/>
                          <w:marTop w:val="0"/>
                          <w:marBottom w:val="0"/>
                          <w:divBdr>
                            <w:top w:val="none" w:sz="0" w:space="0" w:color="auto"/>
                            <w:left w:val="none" w:sz="0" w:space="0" w:color="auto"/>
                            <w:bottom w:val="none" w:sz="0" w:space="0" w:color="auto"/>
                            <w:right w:val="none" w:sz="0" w:space="0" w:color="auto"/>
                          </w:divBdr>
                          <w:divsChild>
                            <w:div w:id="897283366">
                              <w:marLeft w:val="0"/>
                              <w:marRight w:val="0"/>
                              <w:marTop w:val="0"/>
                              <w:marBottom w:val="0"/>
                              <w:divBdr>
                                <w:top w:val="none" w:sz="0" w:space="0" w:color="auto"/>
                                <w:left w:val="none" w:sz="0" w:space="0" w:color="auto"/>
                                <w:bottom w:val="none" w:sz="0" w:space="0" w:color="auto"/>
                                <w:right w:val="none" w:sz="0" w:space="0" w:color="auto"/>
                              </w:divBdr>
                              <w:divsChild>
                                <w:div w:id="1810440456">
                                  <w:marLeft w:val="0"/>
                                  <w:marRight w:val="0"/>
                                  <w:marTop w:val="278"/>
                                  <w:marBottom w:val="278"/>
                                  <w:divBdr>
                                    <w:top w:val="none" w:sz="0" w:space="0" w:color="auto"/>
                                    <w:left w:val="none" w:sz="0" w:space="0" w:color="auto"/>
                                    <w:bottom w:val="none" w:sz="0" w:space="0" w:color="auto"/>
                                    <w:right w:val="none" w:sz="0" w:space="0" w:color="auto"/>
                                  </w:divBdr>
                                </w:div>
                              </w:divsChild>
                            </w:div>
                            <w:div w:id="1291282352">
                              <w:marLeft w:val="0"/>
                              <w:marRight w:val="0"/>
                              <w:marTop w:val="0"/>
                              <w:marBottom w:val="0"/>
                              <w:divBdr>
                                <w:top w:val="none" w:sz="0" w:space="0" w:color="auto"/>
                                <w:left w:val="none" w:sz="0" w:space="0" w:color="auto"/>
                                <w:bottom w:val="none" w:sz="0" w:space="0" w:color="auto"/>
                                <w:right w:val="none" w:sz="0" w:space="0" w:color="auto"/>
                              </w:divBdr>
                            </w:div>
                          </w:divsChild>
                        </w:div>
                        <w:div w:id="1360475940">
                          <w:marLeft w:val="0"/>
                          <w:marRight w:val="0"/>
                          <w:marTop w:val="0"/>
                          <w:marBottom w:val="0"/>
                          <w:divBdr>
                            <w:top w:val="none" w:sz="0" w:space="0" w:color="auto"/>
                            <w:left w:val="none" w:sz="0" w:space="0" w:color="auto"/>
                            <w:bottom w:val="none" w:sz="0" w:space="0" w:color="auto"/>
                            <w:right w:val="none" w:sz="0" w:space="0" w:color="auto"/>
                          </w:divBdr>
                          <w:divsChild>
                            <w:div w:id="299113475">
                              <w:marLeft w:val="0"/>
                              <w:marRight w:val="0"/>
                              <w:marTop w:val="0"/>
                              <w:marBottom w:val="0"/>
                              <w:divBdr>
                                <w:top w:val="none" w:sz="0" w:space="0" w:color="auto"/>
                                <w:left w:val="none" w:sz="0" w:space="0" w:color="auto"/>
                                <w:bottom w:val="none" w:sz="0" w:space="0" w:color="auto"/>
                                <w:right w:val="none" w:sz="0" w:space="0" w:color="auto"/>
                              </w:divBdr>
                              <w:divsChild>
                                <w:div w:id="112098243">
                                  <w:marLeft w:val="0"/>
                                  <w:marRight w:val="0"/>
                                  <w:marTop w:val="225"/>
                                  <w:marBottom w:val="225"/>
                                  <w:divBdr>
                                    <w:top w:val="none" w:sz="0" w:space="0" w:color="auto"/>
                                    <w:left w:val="none" w:sz="0" w:space="0" w:color="auto"/>
                                    <w:bottom w:val="none" w:sz="0" w:space="0" w:color="auto"/>
                                    <w:right w:val="none" w:sz="0" w:space="0" w:color="auto"/>
                                  </w:divBdr>
                                </w:div>
                              </w:divsChild>
                            </w:div>
                            <w:div w:id="804662894">
                              <w:marLeft w:val="0"/>
                              <w:marRight w:val="0"/>
                              <w:marTop w:val="0"/>
                              <w:marBottom w:val="0"/>
                              <w:divBdr>
                                <w:top w:val="none" w:sz="0" w:space="0" w:color="auto"/>
                                <w:left w:val="none" w:sz="0" w:space="0" w:color="auto"/>
                                <w:bottom w:val="none" w:sz="0" w:space="0" w:color="auto"/>
                                <w:right w:val="none" w:sz="0" w:space="0" w:color="auto"/>
                              </w:divBdr>
                            </w:div>
                          </w:divsChild>
                        </w:div>
                        <w:div w:id="815147486">
                          <w:marLeft w:val="0"/>
                          <w:marRight w:val="0"/>
                          <w:marTop w:val="0"/>
                          <w:marBottom w:val="0"/>
                          <w:divBdr>
                            <w:top w:val="none" w:sz="0" w:space="0" w:color="auto"/>
                            <w:left w:val="none" w:sz="0" w:space="0" w:color="auto"/>
                            <w:bottom w:val="none" w:sz="0" w:space="0" w:color="auto"/>
                            <w:right w:val="none" w:sz="0" w:space="0" w:color="auto"/>
                          </w:divBdr>
                          <w:divsChild>
                            <w:div w:id="1034237108">
                              <w:marLeft w:val="0"/>
                              <w:marRight w:val="0"/>
                              <w:marTop w:val="0"/>
                              <w:marBottom w:val="0"/>
                              <w:divBdr>
                                <w:top w:val="none" w:sz="0" w:space="0" w:color="auto"/>
                                <w:left w:val="none" w:sz="0" w:space="0" w:color="auto"/>
                                <w:bottom w:val="none" w:sz="0" w:space="0" w:color="auto"/>
                                <w:right w:val="none" w:sz="0" w:space="0" w:color="auto"/>
                              </w:divBdr>
                              <w:divsChild>
                                <w:div w:id="1947495069">
                                  <w:marLeft w:val="0"/>
                                  <w:marRight w:val="0"/>
                                  <w:marTop w:val="225"/>
                                  <w:marBottom w:val="225"/>
                                  <w:divBdr>
                                    <w:top w:val="none" w:sz="0" w:space="0" w:color="auto"/>
                                    <w:left w:val="none" w:sz="0" w:space="0" w:color="auto"/>
                                    <w:bottom w:val="none" w:sz="0" w:space="0" w:color="auto"/>
                                    <w:right w:val="none" w:sz="0" w:space="0" w:color="auto"/>
                                  </w:divBdr>
                                </w:div>
                              </w:divsChild>
                            </w:div>
                            <w:div w:id="1088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543682">
      <w:bodyDiv w:val="1"/>
      <w:marLeft w:val="120"/>
      <w:marRight w:val="120"/>
      <w:marTop w:val="120"/>
      <w:marBottom w:val="120"/>
      <w:divBdr>
        <w:top w:val="none" w:sz="0" w:space="0" w:color="auto"/>
        <w:left w:val="none" w:sz="0" w:space="0" w:color="auto"/>
        <w:bottom w:val="none" w:sz="0" w:space="0" w:color="auto"/>
        <w:right w:val="none" w:sz="0" w:space="0" w:color="auto"/>
      </w:divBdr>
    </w:div>
    <w:div w:id="1581863899">
      <w:bodyDiv w:val="1"/>
      <w:marLeft w:val="0"/>
      <w:marRight w:val="0"/>
      <w:marTop w:val="0"/>
      <w:marBottom w:val="0"/>
      <w:divBdr>
        <w:top w:val="none" w:sz="0" w:space="0" w:color="auto"/>
        <w:left w:val="none" w:sz="0" w:space="0" w:color="auto"/>
        <w:bottom w:val="none" w:sz="0" w:space="0" w:color="auto"/>
        <w:right w:val="none" w:sz="0" w:space="0" w:color="auto"/>
      </w:divBdr>
    </w:div>
    <w:div w:id="1600334511">
      <w:bodyDiv w:val="1"/>
      <w:marLeft w:val="0"/>
      <w:marRight w:val="0"/>
      <w:marTop w:val="0"/>
      <w:marBottom w:val="0"/>
      <w:divBdr>
        <w:top w:val="none" w:sz="0" w:space="0" w:color="auto"/>
        <w:left w:val="none" w:sz="0" w:space="0" w:color="auto"/>
        <w:bottom w:val="none" w:sz="0" w:space="0" w:color="auto"/>
        <w:right w:val="none" w:sz="0" w:space="0" w:color="auto"/>
      </w:divBdr>
    </w:div>
    <w:div w:id="1689409348">
      <w:bodyDiv w:val="1"/>
      <w:marLeft w:val="0"/>
      <w:marRight w:val="0"/>
      <w:marTop w:val="0"/>
      <w:marBottom w:val="0"/>
      <w:divBdr>
        <w:top w:val="none" w:sz="0" w:space="0" w:color="auto"/>
        <w:left w:val="none" w:sz="0" w:space="0" w:color="auto"/>
        <w:bottom w:val="none" w:sz="0" w:space="0" w:color="auto"/>
        <w:right w:val="none" w:sz="0" w:space="0" w:color="auto"/>
      </w:divBdr>
      <w:divsChild>
        <w:div w:id="926305812">
          <w:marLeft w:val="4650"/>
          <w:marRight w:val="0"/>
          <w:marTop w:val="0"/>
          <w:marBottom w:val="0"/>
          <w:divBdr>
            <w:top w:val="none" w:sz="0" w:space="0" w:color="auto"/>
            <w:left w:val="none" w:sz="0" w:space="0" w:color="auto"/>
            <w:bottom w:val="none" w:sz="0" w:space="0" w:color="auto"/>
            <w:right w:val="none" w:sz="0" w:space="0" w:color="auto"/>
          </w:divBdr>
          <w:divsChild>
            <w:div w:id="1178930008">
              <w:marLeft w:val="0"/>
              <w:marRight w:val="0"/>
              <w:marTop w:val="0"/>
              <w:marBottom w:val="0"/>
              <w:divBdr>
                <w:top w:val="none" w:sz="0" w:space="0" w:color="auto"/>
                <w:left w:val="none" w:sz="0" w:space="0" w:color="auto"/>
                <w:bottom w:val="none" w:sz="0" w:space="0" w:color="auto"/>
                <w:right w:val="none" w:sz="0" w:space="0" w:color="auto"/>
              </w:divBdr>
              <w:divsChild>
                <w:div w:id="1723284993">
                  <w:marLeft w:val="0"/>
                  <w:marRight w:val="0"/>
                  <w:marTop w:val="0"/>
                  <w:marBottom w:val="0"/>
                  <w:divBdr>
                    <w:top w:val="none" w:sz="0" w:space="0" w:color="auto"/>
                    <w:left w:val="none" w:sz="0" w:space="0" w:color="auto"/>
                    <w:bottom w:val="none" w:sz="0" w:space="0" w:color="auto"/>
                    <w:right w:val="none" w:sz="0" w:space="0" w:color="auto"/>
                  </w:divBdr>
                  <w:divsChild>
                    <w:div w:id="1449814203">
                      <w:marLeft w:val="0"/>
                      <w:marRight w:val="0"/>
                      <w:marTop w:val="0"/>
                      <w:marBottom w:val="0"/>
                      <w:divBdr>
                        <w:top w:val="none" w:sz="0" w:space="0" w:color="auto"/>
                        <w:left w:val="none" w:sz="0" w:space="0" w:color="auto"/>
                        <w:bottom w:val="none" w:sz="0" w:space="0" w:color="auto"/>
                        <w:right w:val="none" w:sz="0" w:space="0" w:color="auto"/>
                      </w:divBdr>
                      <w:divsChild>
                        <w:div w:id="1999990336">
                          <w:marLeft w:val="0"/>
                          <w:marRight w:val="0"/>
                          <w:marTop w:val="0"/>
                          <w:marBottom w:val="0"/>
                          <w:divBdr>
                            <w:top w:val="none" w:sz="0" w:space="0" w:color="auto"/>
                            <w:left w:val="none" w:sz="0" w:space="0" w:color="auto"/>
                            <w:bottom w:val="none" w:sz="0" w:space="0" w:color="auto"/>
                            <w:right w:val="none" w:sz="0" w:space="0" w:color="auto"/>
                          </w:divBdr>
                          <w:divsChild>
                            <w:div w:id="1701474024">
                              <w:marLeft w:val="0"/>
                              <w:marRight w:val="0"/>
                              <w:marTop w:val="0"/>
                              <w:marBottom w:val="0"/>
                              <w:divBdr>
                                <w:top w:val="none" w:sz="0" w:space="0" w:color="auto"/>
                                <w:left w:val="none" w:sz="0" w:space="0" w:color="auto"/>
                                <w:bottom w:val="none" w:sz="0" w:space="0" w:color="auto"/>
                                <w:right w:val="none" w:sz="0" w:space="0" w:color="auto"/>
                              </w:divBdr>
                              <w:divsChild>
                                <w:div w:id="1358701676">
                                  <w:marLeft w:val="0"/>
                                  <w:marRight w:val="0"/>
                                  <w:marTop w:val="675"/>
                                  <w:marBottom w:val="675"/>
                                  <w:divBdr>
                                    <w:top w:val="none" w:sz="0" w:space="0" w:color="auto"/>
                                    <w:left w:val="none" w:sz="0" w:space="0" w:color="auto"/>
                                    <w:bottom w:val="none" w:sz="0" w:space="0" w:color="auto"/>
                                    <w:right w:val="none" w:sz="0" w:space="0" w:color="auto"/>
                                  </w:divBdr>
                                </w:div>
                              </w:divsChild>
                            </w:div>
                            <w:div w:id="1931160158">
                              <w:marLeft w:val="0"/>
                              <w:marRight w:val="0"/>
                              <w:marTop w:val="0"/>
                              <w:marBottom w:val="0"/>
                              <w:divBdr>
                                <w:top w:val="none" w:sz="0" w:space="0" w:color="auto"/>
                                <w:left w:val="none" w:sz="0" w:space="0" w:color="auto"/>
                                <w:bottom w:val="none" w:sz="0" w:space="0" w:color="auto"/>
                                <w:right w:val="none" w:sz="0" w:space="0" w:color="auto"/>
                              </w:divBdr>
                            </w:div>
                          </w:divsChild>
                        </w:div>
                        <w:div w:id="565604600">
                          <w:marLeft w:val="0"/>
                          <w:marRight w:val="0"/>
                          <w:marTop w:val="0"/>
                          <w:marBottom w:val="0"/>
                          <w:divBdr>
                            <w:top w:val="none" w:sz="0" w:space="0" w:color="auto"/>
                            <w:left w:val="none" w:sz="0" w:space="0" w:color="auto"/>
                            <w:bottom w:val="none" w:sz="0" w:space="0" w:color="auto"/>
                            <w:right w:val="none" w:sz="0" w:space="0" w:color="auto"/>
                          </w:divBdr>
                          <w:divsChild>
                            <w:div w:id="788400170">
                              <w:marLeft w:val="0"/>
                              <w:marRight w:val="0"/>
                              <w:marTop w:val="0"/>
                              <w:marBottom w:val="0"/>
                              <w:divBdr>
                                <w:top w:val="none" w:sz="0" w:space="0" w:color="auto"/>
                                <w:left w:val="none" w:sz="0" w:space="0" w:color="auto"/>
                                <w:bottom w:val="none" w:sz="0" w:space="0" w:color="auto"/>
                                <w:right w:val="none" w:sz="0" w:space="0" w:color="auto"/>
                              </w:divBdr>
                              <w:divsChild>
                                <w:div w:id="1152015735">
                                  <w:marLeft w:val="0"/>
                                  <w:marRight w:val="0"/>
                                  <w:marTop w:val="450"/>
                                  <w:marBottom w:val="450"/>
                                  <w:divBdr>
                                    <w:top w:val="none" w:sz="0" w:space="0" w:color="auto"/>
                                    <w:left w:val="none" w:sz="0" w:space="0" w:color="auto"/>
                                    <w:bottom w:val="none" w:sz="0" w:space="0" w:color="auto"/>
                                    <w:right w:val="none" w:sz="0" w:space="0" w:color="auto"/>
                                  </w:divBdr>
                                </w:div>
                              </w:divsChild>
                            </w:div>
                            <w:div w:id="1160658656">
                              <w:marLeft w:val="0"/>
                              <w:marRight w:val="0"/>
                              <w:marTop w:val="0"/>
                              <w:marBottom w:val="0"/>
                              <w:divBdr>
                                <w:top w:val="none" w:sz="0" w:space="0" w:color="auto"/>
                                <w:left w:val="none" w:sz="0" w:space="0" w:color="auto"/>
                                <w:bottom w:val="none" w:sz="0" w:space="0" w:color="auto"/>
                                <w:right w:val="none" w:sz="0" w:space="0" w:color="auto"/>
                              </w:divBdr>
                            </w:div>
                          </w:divsChild>
                        </w:div>
                        <w:div w:id="405227045">
                          <w:marLeft w:val="0"/>
                          <w:marRight w:val="0"/>
                          <w:marTop w:val="0"/>
                          <w:marBottom w:val="0"/>
                          <w:divBdr>
                            <w:top w:val="none" w:sz="0" w:space="0" w:color="auto"/>
                            <w:left w:val="none" w:sz="0" w:space="0" w:color="auto"/>
                            <w:bottom w:val="none" w:sz="0" w:space="0" w:color="auto"/>
                            <w:right w:val="none" w:sz="0" w:space="0" w:color="auto"/>
                          </w:divBdr>
                          <w:divsChild>
                            <w:div w:id="682902601">
                              <w:marLeft w:val="0"/>
                              <w:marRight w:val="0"/>
                              <w:marTop w:val="0"/>
                              <w:marBottom w:val="0"/>
                              <w:divBdr>
                                <w:top w:val="none" w:sz="0" w:space="0" w:color="auto"/>
                                <w:left w:val="none" w:sz="0" w:space="0" w:color="auto"/>
                                <w:bottom w:val="none" w:sz="0" w:space="0" w:color="auto"/>
                                <w:right w:val="none" w:sz="0" w:space="0" w:color="auto"/>
                              </w:divBdr>
                              <w:divsChild>
                                <w:div w:id="91979195">
                                  <w:marLeft w:val="0"/>
                                  <w:marRight w:val="0"/>
                                  <w:marTop w:val="225"/>
                                  <w:marBottom w:val="225"/>
                                  <w:divBdr>
                                    <w:top w:val="none" w:sz="0" w:space="0" w:color="auto"/>
                                    <w:left w:val="none" w:sz="0" w:space="0" w:color="auto"/>
                                    <w:bottom w:val="none" w:sz="0" w:space="0" w:color="auto"/>
                                    <w:right w:val="none" w:sz="0" w:space="0" w:color="auto"/>
                                  </w:divBdr>
                                </w:div>
                              </w:divsChild>
                            </w:div>
                            <w:div w:id="1206867681">
                              <w:marLeft w:val="0"/>
                              <w:marRight w:val="0"/>
                              <w:marTop w:val="0"/>
                              <w:marBottom w:val="0"/>
                              <w:divBdr>
                                <w:top w:val="none" w:sz="0" w:space="0" w:color="auto"/>
                                <w:left w:val="none" w:sz="0" w:space="0" w:color="auto"/>
                                <w:bottom w:val="none" w:sz="0" w:space="0" w:color="auto"/>
                                <w:right w:val="none" w:sz="0" w:space="0" w:color="auto"/>
                              </w:divBdr>
                            </w:div>
                          </w:divsChild>
                        </w:div>
                        <w:div w:id="1477143636">
                          <w:marLeft w:val="0"/>
                          <w:marRight w:val="0"/>
                          <w:marTop w:val="0"/>
                          <w:marBottom w:val="0"/>
                          <w:divBdr>
                            <w:top w:val="none" w:sz="0" w:space="0" w:color="auto"/>
                            <w:left w:val="none" w:sz="0" w:space="0" w:color="auto"/>
                            <w:bottom w:val="none" w:sz="0" w:space="0" w:color="auto"/>
                            <w:right w:val="none" w:sz="0" w:space="0" w:color="auto"/>
                          </w:divBdr>
                          <w:divsChild>
                            <w:div w:id="1980452039">
                              <w:marLeft w:val="0"/>
                              <w:marRight w:val="0"/>
                              <w:marTop w:val="0"/>
                              <w:marBottom w:val="0"/>
                              <w:divBdr>
                                <w:top w:val="none" w:sz="0" w:space="0" w:color="auto"/>
                                <w:left w:val="none" w:sz="0" w:space="0" w:color="auto"/>
                                <w:bottom w:val="none" w:sz="0" w:space="0" w:color="auto"/>
                                <w:right w:val="none" w:sz="0" w:space="0" w:color="auto"/>
                              </w:divBdr>
                              <w:divsChild>
                                <w:div w:id="943028202">
                                  <w:marLeft w:val="0"/>
                                  <w:marRight w:val="0"/>
                                  <w:marTop w:val="525"/>
                                  <w:marBottom w:val="525"/>
                                  <w:divBdr>
                                    <w:top w:val="none" w:sz="0" w:space="0" w:color="auto"/>
                                    <w:left w:val="none" w:sz="0" w:space="0" w:color="auto"/>
                                    <w:bottom w:val="none" w:sz="0" w:space="0" w:color="auto"/>
                                    <w:right w:val="none" w:sz="0" w:space="0" w:color="auto"/>
                                  </w:divBdr>
                                </w:div>
                              </w:divsChild>
                            </w:div>
                            <w:div w:id="164713253">
                              <w:marLeft w:val="0"/>
                              <w:marRight w:val="0"/>
                              <w:marTop w:val="0"/>
                              <w:marBottom w:val="0"/>
                              <w:divBdr>
                                <w:top w:val="none" w:sz="0" w:space="0" w:color="auto"/>
                                <w:left w:val="none" w:sz="0" w:space="0" w:color="auto"/>
                                <w:bottom w:val="none" w:sz="0" w:space="0" w:color="auto"/>
                                <w:right w:val="none" w:sz="0" w:space="0" w:color="auto"/>
                              </w:divBdr>
                            </w:div>
                          </w:divsChild>
                        </w:div>
                        <w:div w:id="713778107">
                          <w:marLeft w:val="0"/>
                          <w:marRight w:val="0"/>
                          <w:marTop w:val="0"/>
                          <w:marBottom w:val="0"/>
                          <w:divBdr>
                            <w:top w:val="none" w:sz="0" w:space="0" w:color="auto"/>
                            <w:left w:val="none" w:sz="0" w:space="0" w:color="auto"/>
                            <w:bottom w:val="none" w:sz="0" w:space="0" w:color="auto"/>
                            <w:right w:val="none" w:sz="0" w:space="0" w:color="auto"/>
                          </w:divBdr>
                          <w:divsChild>
                            <w:div w:id="1677920216">
                              <w:marLeft w:val="0"/>
                              <w:marRight w:val="0"/>
                              <w:marTop w:val="0"/>
                              <w:marBottom w:val="0"/>
                              <w:divBdr>
                                <w:top w:val="none" w:sz="0" w:space="0" w:color="auto"/>
                                <w:left w:val="none" w:sz="0" w:space="0" w:color="auto"/>
                                <w:bottom w:val="none" w:sz="0" w:space="0" w:color="auto"/>
                                <w:right w:val="none" w:sz="0" w:space="0" w:color="auto"/>
                              </w:divBdr>
                              <w:divsChild>
                                <w:div w:id="1334142822">
                                  <w:marLeft w:val="0"/>
                                  <w:marRight w:val="0"/>
                                  <w:marTop w:val="533"/>
                                  <w:marBottom w:val="533"/>
                                  <w:divBdr>
                                    <w:top w:val="none" w:sz="0" w:space="0" w:color="auto"/>
                                    <w:left w:val="none" w:sz="0" w:space="0" w:color="auto"/>
                                    <w:bottom w:val="none" w:sz="0" w:space="0" w:color="auto"/>
                                    <w:right w:val="none" w:sz="0" w:space="0" w:color="auto"/>
                                  </w:divBdr>
                                </w:div>
                              </w:divsChild>
                            </w:div>
                            <w:div w:id="18305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265721">
      <w:bodyDiv w:val="1"/>
      <w:marLeft w:val="0"/>
      <w:marRight w:val="0"/>
      <w:marTop w:val="0"/>
      <w:marBottom w:val="0"/>
      <w:divBdr>
        <w:top w:val="none" w:sz="0" w:space="0" w:color="auto"/>
        <w:left w:val="none" w:sz="0" w:space="0" w:color="auto"/>
        <w:bottom w:val="none" w:sz="0" w:space="0" w:color="auto"/>
        <w:right w:val="none" w:sz="0" w:space="0" w:color="auto"/>
      </w:divBdr>
    </w:div>
    <w:div w:id="1906138268">
      <w:bodyDiv w:val="1"/>
      <w:marLeft w:val="0"/>
      <w:marRight w:val="0"/>
      <w:marTop w:val="0"/>
      <w:marBottom w:val="0"/>
      <w:divBdr>
        <w:top w:val="none" w:sz="0" w:space="0" w:color="auto"/>
        <w:left w:val="none" w:sz="0" w:space="0" w:color="auto"/>
        <w:bottom w:val="none" w:sz="0" w:space="0" w:color="auto"/>
        <w:right w:val="none" w:sz="0" w:space="0" w:color="auto"/>
      </w:divBdr>
      <w:divsChild>
        <w:div w:id="314382894">
          <w:marLeft w:val="4650"/>
          <w:marRight w:val="0"/>
          <w:marTop w:val="0"/>
          <w:marBottom w:val="0"/>
          <w:divBdr>
            <w:top w:val="none" w:sz="0" w:space="0" w:color="auto"/>
            <w:left w:val="none" w:sz="0" w:space="0" w:color="auto"/>
            <w:bottom w:val="none" w:sz="0" w:space="0" w:color="auto"/>
            <w:right w:val="none" w:sz="0" w:space="0" w:color="auto"/>
          </w:divBdr>
          <w:divsChild>
            <w:div w:id="1522206834">
              <w:marLeft w:val="0"/>
              <w:marRight w:val="0"/>
              <w:marTop w:val="0"/>
              <w:marBottom w:val="0"/>
              <w:divBdr>
                <w:top w:val="none" w:sz="0" w:space="0" w:color="auto"/>
                <w:left w:val="none" w:sz="0" w:space="0" w:color="auto"/>
                <w:bottom w:val="none" w:sz="0" w:space="0" w:color="auto"/>
                <w:right w:val="none" w:sz="0" w:space="0" w:color="auto"/>
              </w:divBdr>
              <w:divsChild>
                <w:div w:id="399988788">
                  <w:marLeft w:val="0"/>
                  <w:marRight w:val="0"/>
                  <w:marTop w:val="0"/>
                  <w:marBottom w:val="0"/>
                  <w:divBdr>
                    <w:top w:val="none" w:sz="0" w:space="0" w:color="auto"/>
                    <w:left w:val="none" w:sz="0" w:space="0" w:color="auto"/>
                    <w:bottom w:val="none" w:sz="0" w:space="0" w:color="auto"/>
                    <w:right w:val="none" w:sz="0" w:space="0" w:color="auto"/>
                  </w:divBdr>
                  <w:divsChild>
                    <w:div w:id="18764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g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FF00"/>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6A1BC-55C0-49FE-97C5-EA7A2F15E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1805</TotalTime>
  <Pages>1</Pages>
  <Words>2244</Words>
  <Characters>12794</Characters>
  <Application>Microsoft Office Word</Application>
  <DocSecurity>8</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dc:creator>
  <cp:lastModifiedBy>Ross Crain</cp:lastModifiedBy>
  <cp:revision>111</cp:revision>
  <cp:lastPrinted>2015-12-14T16:31:00Z</cp:lastPrinted>
  <dcterms:created xsi:type="dcterms:W3CDTF">2015-12-14T15:31:00Z</dcterms:created>
  <dcterms:modified xsi:type="dcterms:W3CDTF">2023-07-10T22:38:00Z</dcterms:modified>
</cp:coreProperties>
</file>